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1EC8">
      <w:pPr>
        <w:pStyle w:val="2"/>
        <w:widowControl/>
        <w:spacing w:beforeAutospacing="0" w:afterAutospacing="0" w:line="360" w:lineRule="atLeast"/>
        <w:rPr>
          <w:rFonts w:ascii="仿宋" w:hAnsi="仿宋" w:eastAsia="仿宋" w:cs="仿宋_GB2312"/>
          <w:color w:val="000000"/>
          <w:sz w:val="32"/>
          <w:szCs w:val="32"/>
        </w:rPr>
      </w:pPr>
      <w:r>
        <w:rPr>
          <w:rFonts w:ascii="仿宋" w:hAnsi="仿宋" w:eastAsia="仿宋" w:cs="仿宋_GB2312"/>
          <w:color w:val="000000"/>
          <w:sz w:val="32"/>
          <w:szCs w:val="32"/>
        </w:rPr>
        <w:t>附件 3：采购需求</w:t>
      </w:r>
    </w:p>
    <w:p w14:paraId="3C148583">
      <w:pPr>
        <w:pStyle w:val="3"/>
        <w:widowControl/>
        <w:spacing w:beforeAutospacing="0" w:afterAutospacing="0" w:line="360" w:lineRule="atLeast"/>
        <w:ind w:firstLine="643" w:firstLineChars="200"/>
        <w:rPr>
          <w:rFonts w:ascii="仿宋" w:hAnsi="仿宋" w:eastAsia="仿宋"/>
          <w:color w:val="000000"/>
          <w:sz w:val="32"/>
          <w:szCs w:val="32"/>
        </w:rPr>
      </w:pPr>
      <w:r>
        <w:rPr>
          <w:rFonts w:ascii="仿宋" w:hAnsi="仿宋" w:eastAsia="仿宋"/>
          <w:color w:val="000000"/>
          <w:sz w:val="32"/>
          <w:szCs w:val="32"/>
        </w:rPr>
        <w:t>一、项目概况</w:t>
      </w:r>
    </w:p>
    <w:p w14:paraId="2A783965">
      <w:pPr>
        <w:widowControl/>
        <w:spacing w:line="360" w:lineRule="atLeas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rPr>
        <w:t>项目名称：广西中医药大学仙葫校区26#、27#、28#、29#学生宿舍项目多层级工程量清单编制服务采购项目（编号：GUCM-2026-XJ-005-XM）</w:t>
      </w:r>
    </w:p>
    <w:p w14:paraId="09FF422F">
      <w:pPr>
        <w:widowControl/>
        <w:spacing w:line="360" w:lineRule="atLeas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rPr>
        <w:t>采购内容：我校重点建设项目仙葫校区26#、27#、28#、29#学生宿舍已获自治区发改委批复，项目总投资概算11601.95万元，其中建筑安装工程费用9972.81万元、工程建设其他费用1076.67万元（不含建设用地费）、预备费552.47万元。现阶段项目处于设计前期，待施工图设计完成后，须依据《广西建设工程全过程计价规范和多层级工程量清单计算规范》（桂建价〔2025〕1号）规定开展多层级工程量清单编制工作。为保障项目计价合规、招标工作顺利推进，现计划采购本项目工程量清单及招标控制价编制服务。</w:t>
      </w:r>
    </w:p>
    <w:p w14:paraId="482F98DE">
      <w:pPr>
        <w:pStyle w:val="3"/>
        <w:widowControl/>
        <w:spacing w:beforeAutospacing="0" w:afterAutospacing="0" w:line="360" w:lineRule="atLeast"/>
        <w:ind w:firstLine="643" w:firstLineChars="200"/>
        <w:rPr>
          <w:rFonts w:ascii="仿宋" w:hAnsi="仿宋" w:eastAsia="仿宋"/>
          <w:color w:val="000000"/>
          <w:sz w:val="24"/>
          <w:szCs w:val="24"/>
        </w:rPr>
      </w:pPr>
      <w:r>
        <w:rPr>
          <w:rFonts w:ascii="仿宋" w:hAnsi="仿宋" w:eastAsia="仿宋"/>
          <w:color w:val="000000"/>
          <w:sz w:val="32"/>
          <w:szCs w:val="32"/>
        </w:rPr>
        <w:t>二、▲实质性技术参数要求（必须满足）</w:t>
      </w:r>
    </w:p>
    <w:p w14:paraId="613A760A">
      <w:pPr>
        <w:widowControl/>
        <w:spacing w:line="360" w:lineRule="atLeas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lang w:val="en-US" w:eastAsia="zh-CN"/>
        </w:rPr>
        <w:t>（一）</w:t>
      </w:r>
      <w:r>
        <w:rPr>
          <w:rFonts w:hint="eastAsia" w:ascii="仿宋" w:hAnsi="仿宋" w:eastAsia="仿宋" w:cs="Times New Roman"/>
          <w:sz w:val="32"/>
          <w:szCs w:val="32"/>
        </w:rPr>
        <w:t>企业资质要求</w:t>
      </w:r>
    </w:p>
    <w:p w14:paraId="098BE9D9">
      <w:pPr>
        <w:widowControl/>
        <w:spacing w:line="360" w:lineRule="atLeas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服务供应商必须具有独立法人资格。</w:t>
      </w:r>
    </w:p>
    <w:p w14:paraId="0E1164A2">
      <w:pPr>
        <w:widowControl/>
        <w:spacing w:line="360" w:lineRule="atLeas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不允许以联合体的形式参与报价，服务供应商中标后不允许转包、分包。</w:t>
      </w:r>
    </w:p>
    <w:p w14:paraId="447EB0BE">
      <w:pPr>
        <w:widowControl/>
        <w:spacing w:line="360" w:lineRule="atLeas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lang w:val="en-US" w:eastAsia="zh-CN"/>
        </w:rPr>
        <w:t>3.</w:t>
      </w:r>
      <w:r>
        <w:rPr>
          <w:rFonts w:hint="eastAsia" w:ascii="仿宋" w:hAnsi="仿宋" w:eastAsia="仿宋" w:cs="Times New Roman"/>
          <w:sz w:val="32"/>
          <w:szCs w:val="32"/>
        </w:rPr>
        <w:t>拟投入多层级工程量清单编制负责人必须是国家注册的一级造价工程师和具有国家人事主管部门核发的高级工程师职称,并从事本行业工作五年以上。</w:t>
      </w:r>
    </w:p>
    <w:p w14:paraId="3D166396">
      <w:pPr>
        <w:widowControl/>
        <w:spacing w:line="360" w:lineRule="atLeast"/>
        <w:ind w:firstLine="640" w:firstLineChars="200"/>
        <w:jc w:val="left"/>
        <w:rPr>
          <w:rFonts w:hint="eastAsia" w:ascii="仿宋" w:hAnsi="仿宋" w:eastAsia="仿宋" w:cs="Times New Roman"/>
          <w:sz w:val="32"/>
          <w:szCs w:val="32"/>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拟投入工程工程量清单及招标控制价编制服务人员必须具有独立相似的工程建设项目咨询服务业绩，具有良好的职业道德和较强的协调沟通能力，具有较强的工作责任感和敬业精神。</w:t>
      </w:r>
    </w:p>
    <w:p w14:paraId="43D4B638">
      <w:pPr>
        <w:widowControl/>
        <w:spacing w:line="360" w:lineRule="atLeast"/>
        <w:ind w:firstLine="640" w:firstLineChars="200"/>
        <w:jc w:val="left"/>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5.服务供应商在2026年财审协审单位名单中。</w:t>
      </w:r>
    </w:p>
    <w:p w14:paraId="7D57ADD2">
      <w:pPr>
        <w:widowControl/>
        <w:spacing w:line="360" w:lineRule="atLeast"/>
        <w:ind w:firstLine="640" w:firstLineChars="200"/>
        <w:jc w:val="left"/>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（二）业绩要求</w:t>
      </w:r>
    </w:p>
    <w:p w14:paraId="6EC54516">
      <w:pPr>
        <w:widowControl/>
        <w:spacing w:line="360" w:lineRule="atLeast"/>
        <w:ind w:firstLine="640" w:firstLineChars="200"/>
        <w:jc w:val="left"/>
        <w:rPr>
          <w:rFonts w:hint="default" w:ascii="仿宋" w:hAnsi="仿宋" w:eastAsia="仿宋" w:cs="Times New Roman"/>
          <w:sz w:val="32"/>
          <w:szCs w:val="32"/>
          <w:lang w:val="en-US" w:eastAsia="zh-CN"/>
        </w:rPr>
      </w:pPr>
      <w:r>
        <w:rPr>
          <w:rFonts w:hint="eastAsia" w:ascii="仿宋" w:hAnsi="仿宋" w:eastAsia="仿宋" w:cs="Times New Roman"/>
          <w:sz w:val="32"/>
          <w:szCs w:val="32"/>
          <w:lang w:val="en-US" w:eastAsia="zh-CN"/>
        </w:rPr>
        <w:t>1.近3年内编制的装修项目项目的工程量清单及招标控制价的业绩（业绩要求：编制的控制价5000万元及以上）</w:t>
      </w:r>
    </w:p>
    <w:p w14:paraId="45504627">
      <w:pPr>
        <w:widowControl/>
        <w:spacing w:line="360" w:lineRule="atLeast"/>
        <w:ind w:firstLine="640" w:firstLineChars="200"/>
        <w:jc w:val="left"/>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（三）服务要求</w:t>
      </w:r>
    </w:p>
    <w:p w14:paraId="532894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val="en-US" w:eastAsia="zh-CN"/>
        </w:rPr>
        <w:t>1.</w:t>
      </w:r>
      <w:r>
        <w:rPr>
          <w:rFonts w:hint="eastAsia" w:ascii="仿宋" w:hAnsi="仿宋" w:eastAsia="仿宋" w:cs="仿宋_GB2312"/>
          <w:sz w:val="32"/>
          <w:szCs w:val="32"/>
        </w:rPr>
        <w:t>严格按照清单规范、定额及政府有关文件编制多层级工程量清单。</w:t>
      </w:r>
    </w:p>
    <w:p w14:paraId="1C89D2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严格按照设计文件编制，避免清单缺项、漏项。</w:t>
      </w:r>
    </w:p>
    <w:p w14:paraId="262481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val="en-US" w:eastAsia="zh-CN"/>
        </w:rPr>
        <w:t>3.</w:t>
      </w:r>
      <w:r>
        <w:rPr>
          <w:rFonts w:hint="eastAsia" w:ascii="仿宋" w:hAnsi="仿宋" w:eastAsia="仿宋" w:cs="仿宋_GB2312"/>
          <w:sz w:val="32"/>
          <w:szCs w:val="32"/>
        </w:rPr>
        <w:t>配合采购人工作，对采购人提出的问题要及时答复。</w:t>
      </w:r>
    </w:p>
    <w:p w14:paraId="70824B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val="en-US" w:eastAsia="zh-CN"/>
        </w:rPr>
        <w:t>4.</w:t>
      </w:r>
      <w:r>
        <w:rPr>
          <w:rFonts w:hint="eastAsia" w:ascii="仿宋" w:hAnsi="仿宋" w:eastAsia="仿宋" w:cs="仿宋_GB2312"/>
          <w:sz w:val="32"/>
          <w:szCs w:val="32"/>
        </w:rPr>
        <w:t>根据合同条款编制完成后出具成果报告，同时根据需要在项目送财审投资评审中心评审时，配合与财政投资评审人员核对，完成招标控制价的最终审定。</w:t>
      </w:r>
    </w:p>
    <w:p w14:paraId="53EFA7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val="en-US" w:eastAsia="zh-CN"/>
        </w:rPr>
        <w:t>5.</w:t>
      </w:r>
      <w:r>
        <w:rPr>
          <w:rFonts w:hint="eastAsia" w:ascii="仿宋" w:hAnsi="仿宋" w:eastAsia="仿宋" w:cs="仿宋_GB2312"/>
          <w:sz w:val="32"/>
          <w:szCs w:val="32"/>
        </w:rPr>
        <w:t>中标服务供应商在签订合同时，应附编制小组人员名单。人员安排方面，以项目编制服务负责人为编制小组组长，选派有施工经验、业务好、责任心强的人员，以保证更好地为采购人服务。拟投入的土建专业人员不少于1人，安装专业不少于1人，未经学校审计处同意不得变更编制人员。</w:t>
      </w:r>
    </w:p>
    <w:p w14:paraId="5010E2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val="en-US" w:eastAsia="zh-CN"/>
        </w:rPr>
        <w:t>6.</w:t>
      </w:r>
      <w:r>
        <w:rPr>
          <w:rFonts w:hint="eastAsia" w:ascii="仿宋" w:hAnsi="仿宋" w:eastAsia="仿宋" w:cs="仿宋_GB2312"/>
          <w:sz w:val="32"/>
          <w:szCs w:val="32"/>
        </w:rPr>
        <w:t>在履行合同期间或合同规定期限内，不得泄露与本合同规定业务活动有关的保密资料。</w:t>
      </w:r>
    </w:p>
    <w:p w14:paraId="0BC5DAA9">
      <w:pPr>
        <w:widowControl/>
        <w:spacing w:line="360" w:lineRule="atLeast"/>
        <w:ind w:firstLine="640" w:firstLineChars="200"/>
        <w:jc w:val="left"/>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（四）完成时限</w:t>
      </w:r>
    </w:p>
    <w:p w14:paraId="4CC700F8">
      <w:pPr>
        <w:widowControl/>
        <w:spacing w:line="360" w:lineRule="atLeast"/>
        <w:ind w:firstLine="640" w:firstLineChars="200"/>
        <w:jc w:val="left"/>
        <w:rPr>
          <w:rFonts w:hint="eastAsia" w:ascii="仿宋" w:hAnsi="仿宋" w:eastAsia="仿宋" w:cs="Times New Roman"/>
          <w:sz w:val="32"/>
          <w:szCs w:val="32"/>
          <w:lang w:val="en-US" w:eastAsia="zh-CN"/>
        </w:rPr>
      </w:pPr>
      <w:r>
        <w:rPr>
          <w:rFonts w:hint="eastAsia" w:ascii="仿宋" w:hAnsi="仿宋" w:eastAsia="仿宋" w:cs="仿宋_GB2312"/>
          <w:sz w:val="32"/>
          <w:szCs w:val="32"/>
        </w:rPr>
        <w:t>编制周期：15天（图纸资料提交完毕后）。</w:t>
      </w:r>
    </w:p>
    <w:p w14:paraId="4BEE02E0">
      <w:pPr>
        <w:widowControl/>
        <w:spacing w:line="360" w:lineRule="atLeast"/>
        <w:ind w:firstLine="640" w:firstLineChars="200"/>
        <w:jc w:val="left"/>
        <w:rPr>
          <w:rFonts w:hint="default" w:ascii="仿宋" w:hAnsi="仿宋" w:eastAsia="仿宋" w:cs="Times New Roman"/>
          <w:sz w:val="32"/>
          <w:szCs w:val="32"/>
          <w:lang w:val="en-US" w:eastAsia="zh-CN"/>
        </w:rPr>
      </w:pPr>
    </w:p>
    <w:p w14:paraId="13172891">
      <w:pPr>
        <w:widowControl/>
        <w:spacing w:line="360" w:lineRule="atLeast"/>
        <w:ind w:firstLine="640" w:firstLineChars="200"/>
        <w:jc w:val="left"/>
        <w:rPr>
          <w:rFonts w:hint="default" w:ascii="仿宋" w:hAnsi="仿宋" w:eastAsia="仿宋" w:cs="Times New Roman"/>
          <w:sz w:val="32"/>
          <w:szCs w:val="32"/>
          <w:lang w:val="en-US" w:eastAsia="zh-CN"/>
        </w:rPr>
      </w:pPr>
    </w:p>
    <w:p w14:paraId="28D62039">
      <w:pPr>
        <w:rPr>
          <w:rFonts w:hint="eastAsia" w:ascii="仿宋" w:hAnsi="仿宋" w:eastAsia="仿宋"/>
          <w:sz w:val="28"/>
          <w:szCs w:val="28"/>
        </w:rPr>
      </w:pPr>
    </w:p>
    <w:p w14:paraId="453E5999">
      <w:pPr>
        <w:rPr>
          <w:rFonts w:hint="eastAsia" w:ascii="仿宋" w:hAnsi="仿宋" w:eastAsia="仿宋"/>
          <w:sz w:val="28"/>
          <w:szCs w:val="28"/>
        </w:rPr>
      </w:pPr>
    </w:p>
    <w:p w14:paraId="3177B1F0">
      <w:pPr>
        <w:rPr>
          <w:rFonts w:hint="eastAsia" w:ascii="仿宋" w:hAnsi="仿宋" w:eastAsia="仿宋"/>
          <w:sz w:val="28"/>
          <w:szCs w:val="28"/>
        </w:rPr>
      </w:pPr>
    </w:p>
    <w:p w14:paraId="31A0E847">
      <w:pPr>
        <w:rPr>
          <w:rFonts w:hint="eastAsia" w:ascii="仿宋" w:hAnsi="仿宋" w:eastAsia="仿宋"/>
          <w:sz w:val="28"/>
          <w:szCs w:val="28"/>
        </w:rPr>
      </w:pPr>
    </w:p>
    <w:p w14:paraId="27D721E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632A6"/>
    <w:rsid w:val="40863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2026-07-28T13:20:00Z</dcterms:created>
  <dc:creator>Lenovo</dc:creator>
  <cp:lastModifiedBy>Lenovo</cp:lastModifiedBy>
  <dcterms:modified xsi:type="dcterms:W3CDTF">2026-07-28T13:21:40Z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636DEED8D99547B584CC2B3D46B265BD_11</vt:lpwstr>
  </property>
  <property fmtid="{D5CDD505-2E9C-101B-9397-08002B2CF9AE}" pid="4" name="KSOTemplateDocerSaveRecord">
    <vt:lpwstr>eyJoZGlkIjoiZTcwMzgxNWZjMjZkNWM0ZDI0ZDMzNWIyNmJjNjM3Y2YiLCJ1c2VySWQiOiI0ODkyMzA2NTYifQ==</vt:lpwstr>
  </property>
</Properties>
</file>