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宋体"/>
          <w:b/>
          <w:bCs/>
          <w:color w:val="000000"/>
          <w:sz w:val="32"/>
          <w:szCs w:val="32"/>
          <w:lang w:val="en-US" w:eastAsia="zh-CN"/>
        </w:rPr>
      </w:pPr>
      <w:r>
        <w:rPr>
          <w:rFonts w:hint="eastAsia" w:ascii="黑体" w:hAnsi="黑体" w:eastAsia="黑体" w:cs="宋体"/>
          <w:b/>
          <w:bCs/>
          <w:color w:val="000000"/>
          <w:sz w:val="32"/>
          <w:szCs w:val="32"/>
        </w:rPr>
        <w:t>附件</w:t>
      </w:r>
      <w:r>
        <w:rPr>
          <w:rFonts w:hint="eastAsia" w:ascii="黑体" w:hAnsi="黑体" w:eastAsia="黑体" w:cs="宋体"/>
          <w:b/>
          <w:bCs/>
          <w:color w:val="000000"/>
          <w:sz w:val="32"/>
          <w:szCs w:val="32"/>
          <w:lang w:val="en-US" w:eastAsia="zh-CN"/>
        </w:rPr>
        <w:t>3</w:t>
      </w:r>
      <w:bookmarkStart w:id="0" w:name="_GoBack"/>
      <w:bookmarkEnd w:id="0"/>
    </w:p>
    <w:p>
      <w:pPr>
        <w:widowControl/>
        <w:jc w:val="center"/>
        <w:rPr>
          <w:rFonts w:hint="eastAsia" w:ascii="宋体" w:hAnsi="宋体" w:cs="宋体"/>
          <w:b/>
          <w:bCs/>
          <w:color w:val="000000"/>
          <w:sz w:val="32"/>
          <w:szCs w:val="32"/>
        </w:rPr>
      </w:pPr>
      <w:r>
        <w:rPr>
          <w:rFonts w:hint="eastAsia" w:ascii="宋体" w:hAnsi="宋体" w:cs="宋体"/>
          <w:b/>
          <w:bCs/>
          <w:color w:val="000000"/>
          <w:sz w:val="32"/>
          <w:szCs w:val="32"/>
        </w:rPr>
        <w:t>采购项目需求表</w:t>
      </w:r>
    </w:p>
    <w:p>
      <w:pPr>
        <w:spacing w:line="400" w:lineRule="exact"/>
        <w:rPr>
          <w:rFonts w:hint="eastAsia" w:ascii="宋体" w:hAnsi="宋体"/>
          <w:b/>
          <w:color w:val="000000"/>
          <w:szCs w:val="21"/>
        </w:rPr>
      </w:pPr>
      <w:r>
        <w:rPr>
          <w:rFonts w:hint="eastAsia" w:ascii="宋体" w:hAnsi="宋体"/>
          <w:b/>
          <w:color w:val="000000"/>
          <w:szCs w:val="21"/>
        </w:rPr>
        <w:t>说明：</w:t>
      </w:r>
      <w:r>
        <w:rPr>
          <w:rFonts w:ascii="宋体" w:hAnsi="宋体"/>
          <w:b/>
          <w:bCs/>
          <w:szCs w:val="24"/>
        </w:rPr>
        <w:t>1.</w:t>
      </w:r>
      <w:r>
        <w:rPr>
          <w:rFonts w:hint="eastAsia" w:ascii="宋体" w:hAnsi="宋体"/>
          <w:b/>
          <w:szCs w:val="24"/>
        </w:rPr>
        <w:t>本需求</w:t>
      </w:r>
      <w:r>
        <w:rPr>
          <w:rFonts w:ascii="宋体" w:hAnsi="宋体"/>
          <w:b/>
          <w:bCs/>
          <w:szCs w:val="24"/>
        </w:rPr>
        <w:t>中</w:t>
      </w:r>
      <w:r>
        <w:rPr>
          <w:rFonts w:hint="eastAsia" w:ascii="宋体" w:hAnsi="宋体"/>
          <w:b/>
          <w:bCs/>
          <w:szCs w:val="24"/>
        </w:rPr>
        <w:t>的相关参数有</w:t>
      </w:r>
      <w:r>
        <w:rPr>
          <w:rFonts w:ascii="宋体" w:hAnsi="宋体"/>
          <w:b/>
          <w:bCs/>
          <w:szCs w:val="24"/>
        </w:rPr>
        <w:t>不明确或有误的，</w:t>
      </w:r>
      <w:r>
        <w:rPr>
          <w:rFonts w:hint="eastAsia" w:ascii="宋体" w:hAnsi="宋体"/>
          <w:b/>
          <w:bCs/>
          <w:szCs w:val="24"/>
        </w:rPr>
        <w:t>报价人</w:t>
      </w:r>
      <w:r>
        <w:rPr>
          <w:rFonts w:ascii="宋体" w:hAnsi="宋体"/>
          <w:b/>
          <w:bCs/>
          <w:szCs w:val="24"/>
        </w:rPr>
        <w:t>请以详细、正确的参数</w:t>
      </w:r>
      <w:r>
        <w:rPr>
          <w:rFonts w:hint="eastAsia" w:ascii="宋体" w:hAnsi="宋体"/>
          <w:b/>
          <w:bCs/>
          <w:szCs w:val="24"/>
        </w:rPr>
        <w:t>另做附件</w:t>
      </w:r>
      <w:r>
        <w:rPr>
          <w:rFonts w:ascii="宋体" w:hAnsi="宋体"/>
          <w:b/>
          <w:bCs/>
          <w:szCs w:val="24"/>
        </w:rPr>
        <w:t>。</w:t>
      </w:r>
    </w:p>
    <w:p>
      <w:pPr>
        <w:numPr>
          <w:ilvl w:val="0"/>
          <w:numId w:val="1"/>
        </w:numPr>
        <w:spacing w:line="360" w:lineRule="exact"/>
        <w:ind w:right="2" w:rightChars="1"/>
        <w:rPr>
          <w:rFonts w:hint="eastAsia" w:ascii="宋体" w:hAnsi="宋体"/>
          <w:b/>
          <w:bCs/>
          <w:szCs w:val="21"/>
        </w:rPr>
      </w:pPr>
      <w:r>
        <w:rPr>
          <w:rFonts w:hint="eastAsia" w:ascii="宋体" w:hAnsi="宋体"/>
          <w:b/>
          <w:bCs/>
          <w:szCs w:val="24"/>
        </w:rPr>
        <w:t>报价人必须自行为其报价产品或服务侵犯其他供应商担相应法律责任</w:t>
      </w:r>
      <w:r>
        <w:rPr>
          <w:rFonts w:hint="eastAsia" w:ascii="宋体" w:hAnsi="宋体"/>
          <w:b/>
          <w:bCs/>
          <w:szCs w:val="21"/>
        </w:rPr>
        <w:t>。</w:t>
      </w:r>
    </w:p>
    <w:p>
      <w:pPr>
        <w:spacing w:line="400" w:lineRule="exact"/>
        <w:ind w:firstLine="632" w:firstLineChars="300"/>
      </w:pPr>
      <w:r>
        <w:rPr>
          <w:rFonts w:hint="eastAsia" w:ascii="宋体" w:hAnsi="宋体"/>
          <w:b/>
          <w:szCs w:val="24"/>
        </w:rPr>
        <w:t>3.本章中带▲号条款为实质性内容要求，投标时必须满足。</w:t>
      </w:r>
    </w:p>
    <w:tbl>
      <w:tblPr>
        <w:tblStyle w:val="6"/>
        <w:tblW w:w="0" w:type="auto"/>
        <w:tblInd w:w="17" w:type="dxa"/>
        <w:tblLayout w:type="fixed"/>
        <w:tblCellMar>
          <w:top w:w="13" w:type="dxa"/>
          <w:left w:w="57" w:type="dxa"/>
          <w:bottom w:w="0" w:type="dxa"/>
          <w:right w:w="57" w:type="dxa"/>
        </w:tblCellMar>
      </w:tblPr>
      <w:tblGrid>
        <w:gridCol w:w="326"/>
        <w:gridCol w:w="839"/>
        <w:gridCol w:w="94"/>
        <w:gridCol w:w="1712"/>
        <w:gridCol w:w="3667"/>
        <w:gridCol w:w="727"/>
        <w:gridCol w:w="987"/>
      </w:tblGrid>
      <w:tr>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一、技术要求</w:t>
            </w:r>
          </w:p>
        </w:tc>
      </w:tr>
      <w:tr>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kern w:val="0"/>
                <w:szCs w:val="21"/>
              </w:rPr>
            </w:pPr>
            <w:r>
              <w:rPr>
                <w:rFonts w:hint="eastAsia" w:ascii="宋体" w:hAnsi="宋体"/>
                <w:b/>
                <w:bCs/>
                <w:color w:val="000000"/>
                <w:kern w:val="0"/>
                <w:szCs w:val="21"/>
              </w:rPr>
              <w:t>序号</w:t>
            </w: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szCs w:val="21"/>
              </w:rPr>
            </w:pPr>
            <w:r>
              <w:rPr>
                <w:rFonts w:hint="eastAsia" w:ascii="宋体" w:hAnsi="宋体"/>
                <w:b/>
                <w:bCs/>
                <w:color w:val="000000"/>
                <w:szCs w:val="21"/>
              </w:rPr>
              <w:t>采购内容</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kern w:val="0"/>
                <w:szCs w:val="21"/>
              </w:rPr>
            </w:pPr>
            <w:r>
              <w:rPr>
                <w:rFonts w:hint="eastAsia" w:ascii="宋体" w:hAnsi="宋体"/>
                <w:b/>
                <w:bCs/>
                <w:color w:val="000000"/>
                <w:szCs w:val="21"/>
              </w:rPr>
              <w:t>品牌型号要求</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b/>
                <w:bCs/>
                <w:color w:val="000000"/>
                <w:szCs w:val="21"/>
              </w:rPr>
            </w:pPr>
            <w:r>
              <w:rPr>
                <w:rFonts w:hint="eastAsia" w:ascii="宋体" w:hAnsi="宋体" w:cs="仿宋_GB2312"/>
                <w:b/>
                <w:bCs/>
                <w:color w:val="000000"/>
                <w:kern w:val="0"/>
                <w:szCs w:val="21"/>
              </w:rPr>
              <w:t>技术参数</w:t>
            </w:r>
          </w:p>
        </w:tc>
        <w:tc>
          <w:tcPr>
            <w:tcW w:w="727" w:type="dxa"/>
            <w:tcBorders>
              <w:top w:val="single" w:color="auto" w:sz="4" w:space="0"/>
              <w:left w:val="nil"/>
              <w:bottom w:val="single" w:color="auto" w:sz="4" w:space="0"/>
              <w:right w:val="single" w:color="auto" w:sz="4" w:space="0"/>
            </w:tcBorders>
            <w:vAlign w:val="center"/>
          </w:tcPr>
          <w:p>
            <w:pPr>
              <w:jc w:val="center"/>
              <w:rPr>
                <w:rFonts w:hint="eastAsia" w:ascii="宋体" w:hAnsi="宋体" w:cs="仿宋_GB2312"/>
                <w:b/>
                <w:bCs/>
                <w:color w:val="000000"/>
                <w:kern w:val="0"/>
                <w:szCs w:val="21"/>
              </w:rPr>
            </w:pPr>
            <w:r>
              <w:rPr>
                <w:rFonts w:hint="eastAsia" w:ascii="宋体" w:hAnsi="宋体" w:cs="仿宋_GB2312"/>
                <w:b/>
                <w:bCs/>
                <w:color w:val="000000"/>
                <w:kern w:val="0"/>
                <w:szCs w:val="21"/>
              </w:rPr>
              <w:t>计量</w:t>
            </w:r>
          </w:p>
          <w:p>
            <w:pPr>
              <w:jc w:val="center"/>
              <w:rPr>
                <w:rFonts w:hint="eastAsia" w:ascii="宋体" w:hAnsi="宋体"/>
                <w:b/>
                <w:bCs/>
                <w:color w:val="000000"/>
                <w:szCs w:val="21"/>
              </w:rPr>
            </w:pPr>
            <w:r>
              <w:rPr>
                <w:rFonts w:hint="eastAsia" w:ascii="宋体" w:hAnsi="宋体" w:cs="仿宋_GB2312"/>
                <w:b/>
                <w:bCs/>
                <w:color w:val="000000"/>
                <w:kern w:val="0"/>
                <w:szCs w:val="21"/>
              </w:rPr>
              <w:t>单位</w:t>
            </w:r>
          </w:p>
        </w:tc>
        <w:tc>
          <w:tcPr>
            <w:tcW w:w="987" w:type="dxa"/>
            <w:tcBorders>
              <w:top w:val="single" w:color="auto" w:sz="4" w:space="0"/>
              <w:left w:val="nil"/>
              <w:bottom w:val="single" w:color="auto" w:sz="4" w:space="0"/>
              <w:right w:val="single" w:color="auto" w:sz="4" w:space="0"/>
            </w:tcBorders>
            <w:vAlign w:val="center"/>
          </w:tcPr>
          <w:p>
            <w:pPr>
              <w:jc w:val="center"/>
              <w:rPr>
                <w:rFonts w:hint="eastAsia" w:ascii="宋体" w:hAnsi="宋体"/>
                <w:b/>
                <w:bCs/>
                <w:color w:val="000000"/>
                <w:szCs w:val="21"/>
              </w:rPr>
            </w:pPr>
            <w:r>
              <w:rPr>
                <w:rFonts w:hint="eastAsia" w:ascii="宋体" w:hAnsi="宋体" w:cs="仿宋_GB2312"/>
                <w:b/>
                <w:bCs/>
                <w:color w:val="000000"/>
                <w:kern w:val="0"/>
                <w:szCs w:val="21"/>
              </w:rPr>
              <w:t>数量</w:t>
            </w:r>
          </w:p>
        </w:tc>
      </w:tr>
      <w:tr>
        <w:tblPrEx>
          <w:tblCellMar>
            <w:top w:w="13" w:type="dxa"/>
            <w:left w:w="57" w:type="dxa"/>
            <w:bottom w:w="0" w:type="dxa"/>
            <w:right w:w="57" w:type="dxa"/>
          </w:tblCellMar>
        </w:tblPrEx>
        <w:trPr>
          <w:trHeight w:val="454" w:hRule="atLeast"/>
        </w:trPr>
        <w:tc>
          <w:tcPr>
            <w:tcW w:w="32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pStyle w:val="9"/>
              <w:widowControl/>
              <w:numPr>
                <w:ilvl w:val="0"/>
                <w:numId w:val="2"/>
              </w:numPr>
              <w:ind w:firstLineChars="0"/>
              <w:jc w:val="center"/>
              <w:rPr>
                <w:rFonts w:hint="eastAsia" w:ascii="宋体" w:hAnsi="宋体" w:cs="宋体"/>
                <w:color w:val="000000"/>
                <w:kern w:val="0"/>
                <w:lang w:bidi="zh-CN"/>
              </w:rPr>
            </w:pPr>
          </w:p>
        </w:tc>
        <w:tc>
          <w:tcPr>
            <w:tcW w:w="839"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center"/>
              <w:rPr>
                <w:rFonts w:hint="eastAsia" w:ascii="宋体" w:hAnsi="宋体" w:cs="宋体"/>
                <w:color w:val="000000"/>
                <w:kern w:val="0"/>
                <w:szCs w:val="21"/>
                <w:lang w:bidi="zh-CN"/>
              </w:rPr>
            </w:pPr>
            <w:r>
              <w:rPr>
                <w:rFonts w:hint="eastAsia" w:ascii="宋体" w:hAnsi="宋体"/>
                <w:color w:val="000000"/>
                <w:szCs w:val="24"/>
                <w:lang w:val="en-US" w:eastAsia="zh-CN"/>
              </w:rPr>
              <w:t>实验室超低温冰箱</w:t>
            </w:r>
          </w:p>
        </w:tc>
        <w:tc>
          <w:tcPr>
            <w:tcW w:w="1806" w:type="dxa"/>
            <w:gridSpan w:val="2"/>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left"/>
              <w:rPr>
                <w:rFonts w:hint="eastAsia" w:ascii="宋体" w:hAnsi="宋体"/>
                <w:color w:val="000000"/>
                <w:szCs w:val="24"/>
                <w:lang w:val="en-US" w:eastAsia="zh-CN"/>
              </w:rPr>
            </w:pPr>
            <w:r>
              <w:rPr>
                <w:rFonts w:hint="eastAsia" w:ascii="宋体" w:hAnsi="宋体"/>
                <w:color w:val="000000"/>
                <w:szCs w:val="24"/>
                <w:lang w:val="en-US" w:eastAsia="zh-CN"/>
              </w:rPr>
              <w:t>1.海尔生物医疗DW-86L736G</w:t>
            </w:r>
          </w:p>
          <w:p>
            <w:pPr>
              <w:widowControl/>
              <w:jc w:val="left"/>
              <w:rPr>
                <w:rFonts w:hint="eastAsia" w:ascii="宋体" w:hAnsi="宋体"/>
                <w:color w:val="000000"/>
                <w:szCs w:val="24"/>
                <w:lang w:val="en-US" w:eastAsia="zh-CN"/>
              </w:rPr>
            </w:pPr>
            <w:r>
              <w:rPr>
                <w:rFonts w:hint="eastAsia" w:ascii="宋体" w:hAnsi="宋体"/>
                <w:color w:val="000000"/>
                <w:szCs w:val="24"/>
                <w:lang w:val="en-US" w:eastAsia="zh-CN"/>
              </w:rPr>
              <w:t>2.澳柯玛 DW-86L739</w:t>
            </w:r>
          </w:p>
          <w:p>
            <w:pPr>
              <w:widowControl/>
              <w:jc w:val="left"/>
              <w:rPr>
                <w:rFonts w:hint="eastAsia" w:ascii="宋体" w:hAnsi="宋体"/>
                <w:color w:val="000000"/>
                <w:szCs w:val="24"/>
                <w:lang w:val="en-US" w:eastAsia="zh-CN"/>
              </w:rPr>
            </w:pPr>
            <w:r>
              <w:rPr>
                <w:rFonts w:hint="eastAsia" w:ascii="宋体" w:hAnsi="宋体"/>
                <w:color w:val="000000"/>
                <w:szCs w:val="24"/>
                <w:lang w:val="en-US" w:eastAsia="zh-CN"/>
              </w:rPr>
              <w:t>3.中科美菱 DW-HL778G</w:t>
            </w:r>
          </w:p>
        </w:tc>
        <w:tc>
          <w:tcPr>
            <w:tcW w:w="3667" w:type="dxa"/>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▲1、有效容积≥720L，整机样本量≥50000份（2ml冻存管）；</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▲2、整机宽度≤10500mm(含手把、箱体、铰链)，进门尺寸≤900mm。</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3、采用HC环保制冷剂，根据国家标准GB/T 20154要求，设备铭牌或标签上要标注制冷剂的名称及装入量；制冷剂用量符合国家安全标准.</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4、采用双级复叠制冷系统。</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5、温度控制：微电脑控制，箱内温度-40℃-86℃可调。</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▲6、显示屏≥7英寸触摸屏，可显示箱内温度，设定温度，环境温度，输入电压，支持戴手套操作。能设定高低温报警和箱内温度，具有故障提示预警功能。</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7、安全系统：多种故障报警（高低温报警、传感器故障报警、门开报警、冷凝器脏报警、电池电量低报警）；两种报警方式（声音蜂鸣报警、灯光闪烁报警）；多重保护功能（开机延时保护可设定时间、显示面板密码锁功能）；所有部件独立接地</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8、一体式手把门锁设计，单手实现开关门。双锁结构设计,自带暗锁，可同时使用暗锁（四把钥匙）及双挂锁；4个内门并带密封条设计，外门4层密封，整机共计5层密封；</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▲9、温度均匀度＜±3℃；报价文件需提供相关证明材料；</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▲10、稳定运行噪音值≤49dB（A）（声压级）；报价文件需提供相关证明材料；</w:t>
            </w:r>
          </w:p>
          <w:p>
            <w:pPr>
              <w:widowControl/>
              <w:jc w:val="both"/>
              <w:rPr>
                <w:rFonts w:hint="eastAsia" w:ascii="宋体" w:hAnsi="宋体"/>
                <w:color w:val="000000"/>
                <w:sz w:val="21"/>
                <w:szCs w:val="21"/>
                <w:lang w:val="en-US" w:eastAsia="zh-CN"/>
              </w:rPr>
            </w:pPr>
            <w:r>
              <w:rPr>
                <w:rFonts w:hint="eastAsia" w:ascii="宋体" w:hAnsi="宋体"/>
                <w:color w:val="000000"/>
                <w:sz w:val="21"/>
                <w:szCs w:val="21"/>
                <w:lang w:val="en-US" w:eastAsia="zh-CN"/>
              </w:rPr>
              <w:t>11、自动加热门体快速平衡孔设计，二次开门时间小于1分钟，支持短时间内连续多次开门；</w:t>
            </w:r>
          </w:p>
          <w:p>
            <w:pPr>
              <w:widowControl/>
              <w:jc w:val="both"/>
              <w:rPr>
                <w:rFonts w:hint="default" w:ascii="宋体" w:hAnsi="宋体"/>
                <w:color w:val="000000"/>
                <w:szCs w:val="24"/>
                <w:lang w:val="en-US" w:eastAsia="zh-CN"/>
              </w:rPr>
            </w:pPr>
            <w:r>
              <w:rPr>
                <w:rFonts w:hint="eastAsia" w:ascii="宋体" w:hAnsi="宋体"/>
                <w:color w:val="000000"/>
                <w:sz w:val="21"/>
                <w:szCs w:val="21"/>
                <w:lang w:val="en-US" w:eastAsia="zh-CN"/>
              </w:rPr>
              <w:t>12、标配RS485数据接口，USB数据接口。</w:t>
            </w:r>
          </w:p>
        </w:tc>
        <w:tc>
          <w:tcPr>
            <w:tcW w:w="72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Cs w:val="21"/>
                <w:lang w:bidi="zh-CN"/>
              </w:rPr>
            </w:pPr>
            <w:r>
              <w:rPr>
                <w:rFonts w:hint="eastAsia" w:ascii="宋体" w:hAnsi="宋体" w:cs="宋体"/>
                <w:color w:val="000000"/>
                <w:kern w:val="0"/>
                <w:szCs w:val="21"/>
                <w:lang w:val="en-US" w:bidi="zh-CN"/>
              </w:rPr>
              <w:t>台</w:t>
            </w:r>
          </w:p>
        </w:tc>
        <w:tc>
          <w:tcPr>
            <w:tcW w:w="98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Cs w:val="21"/>
                <w:highlight w:val="yellow"/>
                <w:lang w:bidi="zh-CN"/>
              </w:rPr>
            </w:pPr>
            <w:r>
              <w:rPr>
                <w:rFonts w:hint="eastAsia" w:ascii="宋体" w:hAnsi="宋体" w:cs="宋体"/>
                <w:color w:val="000000"/>
                <w:kern w:val="0"/>
                <w:szCs w:val="21"/>
                <w:lang w:bidi="zh-CN"/>
              </w:rPr>
              <w:t>1</w:t>
            </w:r>
          </w:p>
        </w:tc>
      </w:tr>
      <w:tr>
        <w:tblPrEx>
          <w:tblCellMar>
            <w:top w:w="13" w:type="dxa"/>
            <w:left w:w="57" w:type="dxa"/>
            <w:bottom w:w="0" w:type="dxa"/>
            <w:right w:w="57" w:type="dxa"/>
          </w:tblCellMar>
        </w:tblPrEx>
        <w:trPr>
          <w:trHeight w:val="454"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b/>
                <w:bCs/>
                <w:color w:val="000000"/>
                <w:szCs w:val="21"/>
              </w:rPr>
            </w:pPr>
            <w:r>
              <w:rPr>
                <w:rFonts w:hint="eastAsia" w:ascii="宋体" w:hAnsi="宋体"/>
                <w:b/>
                <w:szCs w:val="21"/>
              </w:rPr>
              <w:t>▲</w:t>
            </w:r>
            <w:r>
              <w:rPr>
                <w:rFonts w:hint="eastAsia" w:ascii="宋体" w:hAnsi="宋体"/>
                <w:b/>
                <w:bCs/>
                <w:color w:val="000000"/>
                <w:szCs w:val="21"/>
              </w:rPr>
              <w:t>二、商务要求</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质保期</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ascii="宋体" w:hAnsi="宋体" w:cs="宋体"/>
                <w:b/>
                <w:szCs w:val="21"/>
              </w:rPr>
              <w:t>1.</w:t>
            </w:r>
            <w:r>
              <w:rPr>
                <w:rFonts w:hint="eastAsia" w:ascii="宋体" w:hAnsi="宋体" w:cs="宋体"/>
                <w:b/>
                <w:szCs w:val="21"/>
              </w:rPr>
              <w:t>质保期</w:t>
            </w:r>
            <w:r>
              <w:rPr>
                <w:rFonts w:hint="eastAsia" w:ascii="宋体" w:hAnsi="宋体" w:cs="宋体"/>
                <w:b/>
                <w:szCs w:val="21"/>
                <w:u w:val="single"/>
              </w:rPr>
              <w:t xml:space="preserve"> </w:t>
            </w:r>
            <w:r>
              <w:rPr>
                <w:rFonts w:hint="eastAsia" w:ascii="宋体" w:hAnsi="宋体" w:cs="宋体"/>
                <w:b/>
                <w:szCs w:val="21"/>
                <w:u w:val="single"/>
                <w:lang w:val="en-US" w:eastAsia="zh-CN"/>
              </w:rPr>
              <w:t>3</w:t>
            </w:r>
            <w:r>
              <w:rPr>
                <w:rFonts w:hint="eastAsia" w:ascii="宋体" w:hAnsi="宋体" w:cs="宋体"/>
                <w:b/>
                <w:szCs w:val="21"/>
                <w:u w:val="single"/>
              </w:rPr>
              <w:t xml:space="preserve"> </w:t>
            </w:r>
            <w:r>
              <w:rPr>
                <w:rFonts w:hint="eastAsia" w:ascii="宋体" w:hAnsi="宋体" w:cs="宋体"/>
                <w:b/>
                <w:szCs w:val="21"/>
                <w:lang w:val="en-US" w:eastAsia="zh-CN"/>
              </w:rPr>
              <w:t>年</w:t>
            </w:r>
            <w:r>
              <w:rPr>
                <w:rFonts w:hint="eastAsia" w:ascii="宋体" w:hAnsi="宋体" w:cs="宋体"/>
                <w:b/>
                <w:szCs w:val="21"/>
              </w:rPr>
              <w:t>。</w:t>
            </w:r>
            <w:r>
              <w:rPr>
                <w:rFonts w:hint="eastAsia" w:ascii="宋体" w:hAnsi="宋体" w:cs="宋体"/>
                <w:szCs w:val="21"/>
              </w:rPr>
              <w:t>（分项货物服务要求中有特别注明的，按特别注明的执行）</w:t>
            </w:r>
          </w:p>
          <w:p>
            <w:pPr>
              <w:rPr>
                <w:rFonts w:hint="eastAsia" w:ascii="宋体" w:hAnsi="宋体" w:cs="宋体"/>
                <w:szCs w:val="21"/>
              </w:rPr>
            </w:pPr>
            <w:r>
              <w:rPr>
                <w:rFonts w:hint="eastAsia" w:ascii="宋体" w:hAnsi="宋体" w:cs="宋体"/>
                <w:szCs w:val="21"/>
              </w:rPr>
              <w:t>2.所有货物服务</w:t>
            </w:r>
            <w:r>
              <w:rPr>
                <w:rFonts w:ascii="宋体" w:hAnsi="宋体" w:cs="宋体"/>
                <w:szCs w:val="21"/>
              </w:rPr>
              <w:t>按</w:t>
            </w:r>
            <w:r>
              <w:rPr>
                <w:rFonts w:hint="eastAsia" w:ascii="宋体" w:hAnsi="宋体" w:cs="宋体"/>
                <w:szCs w:val="21"/>
              </w:rPr>
              <w:t>国家</w:t>
            </w:r>
            <w:r>
              <w:rPr>
                <w:rFonts w:ascii="宋体" w:hAnsi="宋体" w:cs="宋体"/>
                <w:szCs w:val="21"/>
              </w:rPr>
              <w:t>“三包”</w:t>
            </w:r>
            <w:r>
              <w:rPr>
                <w:rFonts w:hint="eastAsia" w:ascii="宋体" w:hAnsi="宋体" w:cs="宋体"/>
                <w:szCs w:val="21"/>
              </w:rPr>
              <w:t>有关</w:t>
            </w:r>
            <w:r>
              <w:rPr>
                <w:rFonts w:ascii="宋体" w:hAnsi="宋体" w:cs="宋体"/>
                <w:szCs w:val="21"/>
              </w:rPr>
              <w:t>规定执行“三包”</w:t>
            </w:r>
            <w:r>
              <w:rPr>
                <w:rFonts w:hint="eastAsia" w:ascii="宋体" w:hAnsi="宋体" w:cs="宋体"/>
                <w:szCs w:val="21"/>
              </w:rPr>
              <w:t>。质保期自交付验收合格之日起计算，质保期内提供上门维修；质保期结束后，提供终身维护，并优惠提供相关零配件。</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产品及售后服务要求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ascii="宋体" w:hAnsi="宋体" w:cs="宋体"/>
                <w:szCs w:val="21"/>
              </w:rPr>
              <w:t>1.</w:t>
            </w:r>
            <w:r>
              <w:rPr>
                <w:rFonts w:hint="eastAsia" w:ascii="宋体" w:hAnsi="宋体" w:cs="宋体"/>
                <w:szCs w:val="21"/>
              </w:rPr>
              <w:t>成交人</w:t>
            </w:r>
            <w:r>
              <w:rPr>
                <w:rFonts w:ascii="宋体" w:hAnsi="宋体" w:cs="宋体"/>
                <w:szCs w:val="21"/>
              </w:rPr>
              <w:t>交付的所有</w:t>
            </w:r>
            <w:r>
              <w:rPr>
                <w:rFonts w:ascii="宋体" w:hAnsi="宋体" w:cs="宋体"/>
                <w:b/>
                <w:szCs w:val="21"/>
              </w:rPr>
              <w:t>设备</w:t>
            </w:r>
            <w:r>
              <w:rPr>
                <w:rFonts w:ascii="宋体" w:hAnsi="宋体" w:cs="宋体"/>
                <w:szCs w:val="21"/>
              </w:rPr>
              <w:t>必须是签订合同之日</w:t>
            </w:r>
            <w:r>
              <w:rPr>
                <w:rFonts w:hint="eastAsia" w:ascii="宋体" w:hAnsi="宋体" w:cs="宋体"/>
                <w:szCs w:val="21"/>
              </w:rPr>
              <w:t>近</w:t>
            </w:r>
            <w:r>
              <w:rPr>
                <w:rFonts w:hint="eastAsia" w:ascii="宋体" w:hAnsi="宋体" w:cs="宋体"/>
                <w:b/>
                <w:szCs w:val="21"/>
                <w:u w:val="single"/>
              </w:rPr>
              <w:t xml:space="preserve">  1  </w:t>
            </w:r>
            <w:r>
              <w:rPr>
                <w:rFonts w:ascii="宋体" w:hAnsi="宋体" w:cs="宋体"/>
                <w:b/>
                <w:szCs w:val="21"/>
              </w:rPr>
              <w:t>年</w:t>
            </w:r>
            <w:r>
              <w:rPr>
                <w:rFonts w:ascii="宋体" w:hAnsi="宋体" w:cs="宋体"/>
                <w:szCs w:val="21"/>
              </w:rPr>
              <w:t>内生产的产品。</w:t>
            </w:r>
          </w:p>
          <w:p>
            <w:pPr>
              <w:rPr>
                <w:rFonts w:hint="eastAsia" w:ascii="宋体" w:hAnsi="宋体" w:cs="宋体"/>
                <w:b/>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送货至采购人指定地点，协助进行安装场地设计，完成安装和调试。所有安装应符合国家、行业相关标准及规范。</w:t>
            </w:r>
            <w:r>
              <w:rPr>
                <w:rFonts w:hint="eastAsia" w:ascii="宋体" w:hAnsi="宋体" w:cs="宋体"/>
                <w:b/>
                <w:szCs w:val="21"/>
              </w:rPr>
              <w:t>（所有货物仅接受现场交付，不接受邮递）</w:t>
            </w:r>
          </w:p>
          <w:p>
            <w:pPr>
              <w:rPr>
                <w:rFonts w:hint="eastAsia" w:ascii="宋体" w:hAnsi="宋体" w:cs="宋体"/>
                <w:szCs w:val="21"/>
              </w:rPr>
            </w:pPr>
            <w:r>
              <w:rPr>
                <w:rFonts w:ascii="宋体" w:hAnsi="宋体" w:cs="宋体"/>
                <w:szCs w:val="21"/>
              </w:rPr>
              <w:t>3.为采购</w:t>
            </w:r>
            <w:r>
              <w:rPr>
                <w:rFonts w:hint="eastAsia" w:ascii="宋体" w:hAnsi="宋体" w:cs="宋体"/>
                <w:szCs w:val="21"/>
              </w:rPr>
              <w:t>人</w:t>
            </w:r>
            <w:r>
              <w:rPr>
                <w:rFonts w:ascii="宋体" w:hAnsi="宋体" w:cs="宋体"/>
                <w:szCs w:val="21"/>
              </w:rPr>
              <w:t>提供</w:t>
            </w:r>
            <w:r>
              <w:rPr>
                <w:rFonts w:hint="eastAsia" w:ascii="宋体" w:hAnsi="宋体" w:cs="宋体"/>
                <w:szCs w:val="21"/>
              </w:rPr>
              <w:t>产品</w:t>
            </w:r>
            <w:r>
              <w:rPr>
                <w:rFonts w:ascii="宋体" w:hAnsi="宋体" w:cs="宋体"/>
                <w:szCs w:val="21"/>
              </w:rPr>
              <w:t>操作</w:t>
            </w:r>
            <w:r>
              <w:rPr>
                <w:rFonts w:hint="eastAsia" w:ascii="宋体" w:hAnsi="宋体" w:cs="宋体"/>
                <w:szCs w:val="21"/>
              </w:rPr>
              <w:t>、维修、日常养护等方面的</w:t>
            </w:r>
            <w:r>
              <w:rPr>
                <w:rFonts w:ascii="宋体" w:hAnsi="宋体" w:cs="宋体"/>
                <w:szCs w:val="21"/>
              </w:rPr>
              <w:t>培训，确保</w:t>
            </w:r>
            <w:r>
              <w:rPr>
                <w:rFonts w:hint="eastAsia" w:ascii="宋体" w:hAnsi="宋体" w:cs="宋体"/>
                <w:szCs w:val="21"/>
              </w:rPr>
              <w:t>采购方使用人员</w:t>
            </w:r>
            <w:r>
              <w:rPr>
                <w:rFonts w:ascii="宋体" w:hAnsi="宋体" w:cs="宋体"/>
                <w:szCs w:val="21"/>
              </w:rPr>
              <w:t>能独立操作使用</w:t>
            </w:r>
            <w:r>
              <w:rPr>
                <w:rFonts w:hint="eastAsia" w:ascii="宋体" w:hAnsi="宋体" w:cs="宋体"/>
                <w:szCs w:val="21"/>
              </w:rPr>
              <w:t>，</w:t>
            </w:r>
            <w:r>
              <w:rPr>
                <w:rFonts w:ascii="宋体" w:hAnsi="宋体" w:cs="宋体"/>
                <w:szCs w:val="21"/>
              </w:rPr>
              <w:t>培训人数</w:t>
            </w:r>
            <w:r>
              <w:rPr>
                <w:rFonts w:hint="eastAsia" w:ascii="宋体" w:hAnsi="宋体" w:cs="宋体"/>
                <w:szCs w:val="21"/>
              </w:rPr>
              <w:t>、时间、地点等</w:t>
            </w:r>
            <w:r>
              <w:rPr>
                <w:rFonts w:ascii="宋体" w:hAnsi="宋体" w:cs="宋体"/>
                <w:szCs w:val="21"/>
              </w:rPr>
              <w:t>由采购</w:t>
            </w:r>
            <w:r>
              <w:rPr>
                <w:rFonts w:hint="eastAsia" w:ascii="宋体" w:hAnsi="宋体" w:cs="宋体"/>
                <w:szCs w:val="21"/>
              </w:rPr>
              <w:t>人指定</w:t>
            </w:r>
            <w:r>
              <w:rPr>
                <w:rFonts w:ascii="宋体" w:hAnsi="宋体" w:cs="宋体"/>
                <w:szCs w:val="21"/>
              </w:rPr>
              <w:t>。</w:t>
            </w:r>
          </w:p>
          <w:p>
            <w:pPr>
              <w:spacing w:line="380" w:lineRule="exact"/>
              <w:rPr>
                <w:rFonts w:hint="eastAsia" w:ascii="宋体" w:hAnsi="宋体" w:cs="宋体"/>
                <w:szCs w:val="21"/>
              </w:rPr>
            </w:pPr>
            <w:r>
              <w:rPr>
                <w:rFonts w:ascii="宋体" w:hAnsi="宋体" w:cs="宋体"/>
                <w:szCs w:val="21"/>
              </w:rPr>
              <w:t>4.故障响应时间：</w:t>
            </w:r>
            <w:r>
              <w:rPr>
                <w:rFonts w:hint="eastAsia" w:ascii="Arial" w:hAnsi="Arial" w:cs="Arial"/>
                <w:szCs w:val="21"/>
              </w:rPr>
              <w:t>乙方在接到甲方通知后在按</w:t>
            </w:r>
            <w:r>
              <w:rPr>
                <w:rFonts w:hint="eastAsia" w:ascii="Arial" w:hAnsi="Arial" w:cs="Arial"/>
                <w:szCs w:val="21"/>
                <w:u w:val="single"/>
              </w:rPr>
              <w:t xml:space="preserve"> </w:t>
            </w:r>
            <w:r>
              <w:rPr>
                <w:rFonts w:hint="eastAsia" w:ascii="Arial" w:hAnsi="Arial" w:cs="Arial"/>
                <w:szCs w:val="21"/>
                <w:u w:val="single"/>
                <w:lang w:val="en-US" w:eastAsia="zh-CN"/>
              </w:rPr>
              <w:t>6</w:t>
            </w:r>
            <w:r>
              <w:rPr>
                <w:rFonts w:hint="eastAsia" w:ascii="Arial" w:hAnsi="Arial" w:cs="Arial"/>
                <w:szCs w:val="21"/>
                <w:u w:val="single"/>
              </w:rPr>
              <w:t xml:space="preserve"> </w:t>
            </w:r>
            <w:r>
              <w:rPr>
                <w:rFonts w:hint="eastAsia" w:ascii="Arial" w:hAnsi="Arial" w:cs="Arial"/>
                <w:szCs w:val="21"/>
              </w:rPr>
              <w:t>小时内进行处理，</w:t>
            </w:r>
            <w:r>
              <w:rPr>
                <w:rFonts w:hint="eastAsia" w:ascii="Arial" w:hAnsi="Arial" w:cs="Arial"/>
                <w:szCs w:val="21"/>
                <w:u w:val="none"/>
                <w:lang w:eastAsia="zh-CN"/>
              </w:rPr>
              <w:t>一星期</w:t>
            </w:r>
            <w:r>
              <w:rPr>
                <w:rFonts w:hint="eastAsia" w:ascii="Arial" w:hAnsi="Arial" w:cs="Arial"/>
                <w:szCs w:val="21"/>
              </w:rPr>
              <w:t>内排除故障，恢复正常使用</w:t>
            </w:r>
            <w:r>
              <w:rPr>
                <w:rFonts w:ascii="宋体" w:hAnsi="宋体" w:cs="宋体"/>
                <w:szCs w:val="21"/>
              </w:rPr>
              <w:t>。</w:t>
            </w:r>
          </w:p>
          <w:p>
            <w:pPr>
              <w:rPr>
                <w:rFonts w:hint="eastAsia" w:ascii="宋体" w:hAnsi="宋体" w:cs="宋体"/>
                <w:szCs w:val="21"/>
              </w:rPr>
            </w:pPr>
            <w:r>
              <w:rPr>
                <w:rFonts w:ascii="宋体" w:hAnsi="宋体" w:cs="宋体"/>
                <w:szCs w:val="21"/>
              </w:rPr>
              <w:t>5.</w:t>
            </w:r>
            <w:r>
              <w:rPr>
                <w:rFonts w:hint="eastAsia" w:ascii="宋体" w:hAnsi="宋体" w:cs="宋体"/>
                <w:szCs w:val="21"/>
              </w:rPr>
              <w:t>成交人须遵守校园出入规定，在供货、安装过程中确保相关人员安全。</w:t>
            </w:r>
            <w:r>
              <w:rPr>
                <w:rFonts w:ascii="宋体" w:hAnsi="宋体" w:cs="宋体"/>
                <w:szCs w:val="21"/>
              </w:rPr>
              <w:t>供货</w:t>
            </w:r>
            <w:r>
              <w:rPr>
                <w:rFonts w:hint="eastAsia" w:ascii="宋体" w:hAnsi="宋体" w:cs="宋体"/>
                <w:szCs w:val="21"/>
              </w:rPr>
              <w:t>、</w:t>
            </w:r>
            <w:r>
              <w:rPr>
                <w:rFonts w:ascii="宋体" w:hAnsi="宋体" w:cs="宋体"/>
                <w:szCs w:val="21"/>
              </w:rPr>
              <w:t>安装过程中产生的残留物或垃圾，</w:t>
            </w:r>
            <w:r>
              <w:rPr>
                <w:rFonts w:hint="eastAsia" w:ascii="宋体" w:hAnsi="宋体" w:cs="宋体"/>
                <w:szCs w:val="21"/>
              </w:rPr>
              <w:t>成交人需</w:t>
            </w:r>
            <w:r>
              <w:rPr>
                <w:rFonts w:ascii="宋体" w:hAnsi="宋体" w:cs="宋体"/>
                <w:szCs w:val="21"/>
              </w:rPr>
              <w:t>自行清理至校外。</w:t>
            </w:r>
          </w:p>
        </w:tc>
      </w:tr>
      <w:tr>
        <w:tblPrEx>
          <w:tblCellMar>
            <w:top w:w="13" w:type="dxa"/>
            <w:left w:w="57" w:type="dxa"/>
            <w:bottom w:w="0" w:type="dxa"/>
            <w:right w:w="57" w:type="dxa"/>
          </w:tblCellMar>
        </w:tblPrEx>
        <w:trPr>
          <w:trHeight w:val="454"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交付时间、交付地点</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pacing w:val="-2"/>
                <w:szCs w:val="21"/>
              </w:rPr>
            </w:pPr>
            <w:r>
              <w:rPr>
                <w:rFonts w:ascii="宋体" w:hAnsi="宋体" w:cs="宋体"/>
                <w:spacing w:val="-2"/>
                <w:szCs w:val="21"/>
              </w:rPr>
              <w:t>1.交</w:t>
            </w:r>
            <w:r>
              <w:rPr>
                <w:rFonts w:hint="eastAsia" w:ascii="宋体" w:hAnsi="宋体" w:cs="宋体"/>
                <w:spacing w:val="-2"/>
                <w:szCs w:val="21"/>
              </w:rPr>
              <w:t>付</w:t>
            </w:r>
            <w:r>
              <w:rPr>
                <w:rFonts w:ascii="宋体" w:hAnsi="宋体" w:cs="宋体"/>
                <w:spacing w:val="-2"/>
                <w:szCs w:val="21"/>
              </w:rPr>
              <w:t>时间：自签订合同之日起</w:t>
            </w:r>
            <w:r>
              <w:rPr>
                <w:rFonts w:hint="eastAsia" w:ascii="宋体" w:hAnsi="宋体" w:cs="宋体"/>
                <w:spacing w:val="-2"/>
                <w:szCs w:val="21"/>
                <w:u w:val="single"/>
              </w:rPr>
              <w:t xml:space="preserve">  15  </w:t>
            </w:r>
            <w:r>
              <w:rPr>
                <w:rFonts w:hint="eastAsia" w:ascii="宋体" w:hAnsi="宋体" w:cs="宋体"/>
                <w:spacing w:val="-2"/>
                <w:szCs w:val="21"/>
              </w:rPr>
              <w:t>日内全部交付完成并验收合格。</w:t>
            </w:r>
          </w:p>
          <w:p>
            <w:pPr>
              <w:rPr>
                <w:rFonts w:hint="eastAsia" w:ascii="宋体" w:hAnsi="宋体" w:cs="宋体"/>
                <w:szCs w:val="21"/>
              </w:rPr>
            </w:pPr>
            <w:r>
              <w:rPr>
                <w:rFonts w:ascii="宋体" w:hAnsi="宋体" w:cs="宋体"/>
                <w:szCs w:val="21"/>
              </w:rPr>
              <w:t>2.交</w:t>
            </w:r>
            <w:r>
              <w:rPr>
                <w:rFonts w:hint="eastAsia" w:ascii="宋体" w:hAnsi="宋体" w:cs="宋体"/>
                <w:szCs w:val="21"/>
              </w:rPr>
              <w:t>付</w:t>
            </w:r>
            <w:r>
              <w:rPr>
                <w:rFonts w:ascii="宋体" w:hAnsi="宋体" w:cs="宋体"/>
                <w:szCs w:val="21"/>
              </w:rPr>
              <w:t>地点：广西</w:t>
            </w:r>
            <w:r>
              <w:rPr>
                <w:rFonts w:hint="eastAsia" w:ascii="宋体" w:hAnsi="宋体" w:cs="宋体"/>
                <w:szCs w:val="21"/>
              </w:rPr>
              <w:t>中医药大学</w:t>
            </w:r>
            <w:r>
              <w:rPr>
                <w:rFonts w:hint="eastAsia" w:ascii="宋体" w:hAnsi="宋体" w:cs="宋体"/>
                <w:szCs w:val="21"/>
                <w:lang w:val="en-US" w:eastAsia="zh-CN"/>
              </w:rPr>
              <w:t>格物楼C204</w:t>
            </w:r>
            <w:r>
              <w:rPr>
                <w:rFonts w:ascii="宋体" w:hAnsi="宋体" w:cs="宋体"/>
                <w:szCs w:val="21"/>
              </w:rPr>
              <w:t>。</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付款条件</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rPr>
                <w:rFonts w:hint="eastAsia" w:ascii="宋体" w:hAnsi="宋体" w:cs="宋体"/>
                <w:szCs w:val="21"/>
              </w:rPr>
            </w:pPr>
            <w:r>
              <w:rPr>
                <w:rFonts w:hint="eastAsia" w:ascii="Arial" w:hAnsi="Arial" w:cs="Arial"/>
                <w:szCs w:val="21"/>
              </w:rPr>
              <w:t>1、一次性支付：本合同项下的全部货物经最终验收合格后 15 个工作日内，采购人凭乙方开具的全额发票向乙方支付全部合同价款。若乙方未按时开具发票，甲方有权延迟付款（无息）。甲方按约将货款付至合同约定的银行账户</w:t>
            </w:r>
            <w:r>
              <w:rPr>
                <w:rFonts w:ascii="Arial" w:hAnsi="Arial" w:cs="Arial"/>
                <w:szCs w:val="21"/>
              </w:rPr>
              <w:t>(</w:t>
            </w:r>
            <w:r>
              <w:rPr>
                <w:rFonts w:hint="eastAsia" w:ascii="Arial" w:hAnsi="Arial" w:cs="Arial"/>
                <w:szCs w:val="21"/>
              </w:rPr>
              <w:t>该账户的真实性及合法性由乙方负责</w:t>
            </w:r>
            <w:r>
              <w:rPr>
                <w:rFonts w:ascii="Arial" w:hAnsi="Arial" w:cs="Arial"/>
                <w:szCs w:val="21"/>
              </w:rPr>
              <w:t>)</w:t>
            </w:r>
            <w:r>
              <w:rPr>
                <w:rFonts w:hint="eastAsia" w:ascii="Arial" w:hAnsi="Arial" w:cs="Arial"/>
                <w:szCs w:val="21"/>
              </w:rPr>
              <w:t>；如因乙方提供的账户信息错误导致无法付款、迟延付款等情形的不视为甲方违约；乙方变更收款银行账户的，应在变更之前书面通知甲方，否则应承担甲方无法付款、迟延付款或付款错误等全部责任。</w:t>
            </w:r>
          </w:p>
          <w:p>
            <w:pPr>
              <w:rPr>
                <w:rFonts w:hint="eastAsia" w:ascii="宋体" w:hAnsi="宋体" w:cs="宋体"/>
                <w:szCs w:val="21"/>
              </w:rPr>
            </w:pPr>
            <w:r>
              <w:rPr>
                <w:rFonts w:hint="eastAsia" w:ascii="宋体" w:hAnsi="宋体" w:cs="宋体"/>
                <w:szCs w:val="21"/>
              </w:rPr>
              <w:t>2.本项目收取履约保证金：☑无    □有，人民币</w:t>
            </w:r>
            <w:r>
              <w:rPr>
                <w:rFonts w:hint="eastAsia" w:ascii="宋体" w:hAnsi="宋体" w:cs="宋体"/>
                <w:szCs w:val="21"/>
                <w:u w:val="single"/>
              </w:rPr>
              <w:t xml:space="preserve">        </w:t>
            </w:r>
            <w:r>
              <w:rPr>
                <w:rFonts w:hint="eastAsia" w:ascii="宋体" w:hAnsi="宋体" w:cs="宋体"/>
                <w:szCs w:val="21"/>
              </w:rPr>
              <w:t>元。</w:t>
            </w:r>
          </w:p>
          <w:p>
            <w:pPr>
              <w:jc w:val="left"/>
              <w:rPr>
                <w:rFonts w:hint="eastAsia" w:ascii="宋体" w:hAnsi="宋体" w:cs="宋体"/>
                <w:szCs w:val="21"/>
              </w:rPr>
            </w:pPr>
            <w:r>
              <w:rPr>
                <w:rFonts w:hint="eastAsia" w:ascii="宋体" w:hAnsi="宋体" w:cs="宋体"/>
                <w:bCs/>
                <w:szCs w:val="21"/>
              </w:rPr>
              <w:t>3</w:t>
            </w:r>
            <w:r>
              <w:rPr>
                <w:rFonts w:ascii="宋体" w:hAnsi="宋体" w:cs="宋体"/>
                <w:bCs/>
                <w:szCs w:val="21"/>
              </w:rPr>
              <w:t>.</w:t>
            </w:r>
            <w:r>
              <w:rPr>
                <w:rFonts w:hint="eastAsia" w:ascii="宋体" w:hAnsi="宋体" w:cs="宋体"/>
                <w:bCs/>
                <w:szCs w:val="21"/>
              </w:rPr>
              <w:t>项目收取履约保证金的，成交人须在合同签订前向采购人账户转付成交金额</w:t>
            </w:r>
            <w:r>
              <w:rPr>
                <w:rFonts w:ascii="宋体" w:hAnsi="宋体" w:cs="宋体"/>
                <w:bCs/>
                <w:szCs w:val="21"/>
              </w:rPr>
              <w:t>2%的履约保证金，否则不予签订合同</w:t>
            </w:r>
            <w:r>
              <w:rPr>
                <w:rFonts w:hint="eastAsia" w:ascii="宋体" w:hAnsi="宋体" w:cs="宋体"/>
                <w:bCs/>
                <w:szCs w:val="21"/>
              </w:rPr>
              <w:t>。</w:t>
            </w:r>
            <w:r>
              <w:rPr>
                <w:rFonts w:ascii="宋体" w:hAnsi="宋体" w:cs="宋体"/>
                <w:bCs/>
                <w:szCs w:val="21"/>
              </w:rPr>
              <w:t>履约保证金在</w:t>
            </w:r>
            <w:r>
              <w:rPr>
                <w:rFonts w:hint="eastAsia" w:ascii="宋体" w:hAnsi="宋体" w:cs="宋体"/>
                <w:bCs/>
                <w:szCs w:val="21"/>
              </w:rPr>
              <w:t>采购内容全部交付</w:t>
            </w:r>
            <w:r>
              <w:rPr>
                <w:rFonts w:ascii="宋体" w:hAnsi="宋体" w:cs="宋体"/>
                <w:bCs/>
                <w:szCs w:val="21"/>
              </w:rPr>
              <w:t>验收</w:t>
            </w:r>
            <w:r>
              <w:rPr>
                <w:rFonts w:hint="eastAsia" w:ascii="宋体" w:hAnsi="宋体" w:cs="宋体"/>
                <w:bCs/>
                <w:szCs w:val="21"/>
              </w:rPr>
              <w:t>完成</w:t>
            </w:r>
            <w:r>
              <w:rPr>
                <w:rFonts w:ascii="宋体" w:hAnsi="宋体" w:cs="宋体"/>
                <w:bCs/>
                <w:szCs w:val="21"/>
              </w:rPr>
              <w:t>之后</w:t>
            </w:r>
            <w:r>
              <w:rPr>
                <w:rFonts w:hint="eastAsia" w:ascii="宋体" w:hAnsi="宋体" w:cs="宋体"/>
                <w:bCs/>
                <w:szCs w:val="21"/>
              </w:rPr>
              <w:t>（或服务期满后）</w:t>
            </w:r>
            <w:r>
              <w:rPr>
                <w:rFonts w:ascii="宋体" w:hAnsi="宋体" w:cs="宋体"/>
                <w:bCs/>
                <w:szCs w:val="21"/>
              </w:rPr>
              <w:t>无息退付。</w:t>
            </w:r>
          </w:p>
        </w:tc>
      </w:tr>
      <w:tr>
        <w:tblPrEx>
          <w:tblCellMar>
            <w:top w:w="13" w:type="dxa"/>
            <w:left w:w="57" w:type="dxa"/>
            <w:bottom w:w="0" w:type="dxa"/>
            <w:right w:w="57" w:type="dxa"/>
          </w:tblCellMar>
        </w:tblPrEx>
        <w:trPr>
          <w:trHeight w:val="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jc w:val="center"/>
              <w:rPr>
                <w:rFonts w:hint="eastAsia" w:ascii="宋体" w:hAnsi="宋体" w:cs="宋体"/>
                <w:b/>
                <w:bCs/>
                <w:szCs w:val="21"/>
              </w:rPr>
            </w:pPr>
            <w:r>
              <w:rPr>
                <w:rFonts w:hint="eastAsia" w:ascii="宋体" w:hAnsi="宋体" w:cs="宋体"/>
                <w:b/>
                <w:bCs/>
                <w:szCs w:val="21"/>
              </w:rPr>
              <w:t>报价要求</w:t>
            </w:r>
          </w:p>
        </w:tc>
        <w:tc>
          <w:tcPr>
            <w:tcW w:w="7093" w:type="dxa"/>
            <w:gridSpan w:val="4"/>
            <w:tcBorders>
              <w:top w:val="single" w:color="auto" w:sz="4" w:space="0"/>
              <w:left w:val="nil"/>
              <w:bottom w:val="single" w:color="auto" w:sz="4" w:space="0"/>
              <w:right w:val="single" w:color="auto" w:sz="4" w:space="0"/>
            </w:tcBorders>
            <w:tcMar>
              <w:top w:w="0" w:type="dxa"/>
              <w:left w:w="57" w:type="dxa"/>
              <w:bottom w:w="0" w:type="dxa"/>
              <w:right w:w="57" w:type="dxa"/>
            </w:tcMar>
            <w:vAlign w:val="center"/>
          </w:tcPr>
          <w:p>
            <w:pPr>
              <w:numPr>
                <w:ilvl w:val="0"/>
                <w:numId w:val="3"/>
              </w:numPr>
              <w:rPr>
                <w:rFonts w:hint="eastAsia" w:ascii="宋体" w:hAnsi="宋体" w:cs="仿宋"/>
                <w:b/>
                <w:color w:val="000000"/>
                <w:szCs w:val="21"/>
              </w:rPr>
            </w:pPr>
            <w:r>
              <w:rPr>
                <w:rFonts w:hint="eastAsia" w:ascii="宋体" w:hAnsi="宋体" w:cs="仿宋"/>
                <w:b/>
                <w:color w:val="000000"/>
                <w:szCs w:val="21"/>
              </w:rPr>
              <w:t>所有价格均用人民币表示，单位为元，精确到小数点后两位；高于预算金额的报价无效。</w:t>
            </w:r>
          </w:p>
          <w:p>
            <w:pPr>
              <w:numPr>
                <w:ilvl w:val="0"/>
                <w:numId w:val="3"/>
              </w:numPr>
              <w:rPr>
                <w:rFonts w:hint="eastAsia" w:ascii="宋体" w:hAnsi="宋体" w:cs="宋体"/>
                <w:b/>
                <w:szCs w:val="21"/>
              </w:rPr>
            </w:pPr>
            <w:r>
              <w:rPr>
                <w:rFonts w:hint="eastAsia" w:ascii="宋体" w:hAnsi="宋体" w:cs="宋体"/>
                <w:b/>
                <w:bCs/>
                <w:szCs w:val="21"/>
              </w:rPr>
              <w:t>报价一经涂改，应在涂改处加盖单位公章，否则其投标作无效标处理。</w:t>
            </w:r>
          </w:p>
          <w:p>
            <w:pPr>
              <w:numPr>
                <w:ilvl w:val="0"/>
                <w:numId w:val="3"/>
              </w:numPr>
              <w:rPr>
                <w:rFonts w:hint="eastAsia" w:ascii="宋体" w:hAnsi="宋体" w:cs="宋体"/>
                <w:bCs/>
                <w:szCs w:val="21"/>
              </w:rPr>
            </w:pPr>
            <w:r>
              <w:rPr>
                <w:rFonts w:hint="eastAsia" w:ascii="宋体" w:hAnsi="宋体" w:cs="仿宋"/>
                <w:b/>
                <w:color w:val="000000"/>
                <w:szCs w:val="21"/>
              </w:rPr>
              <w:t>报价包括项目采购标的及实施所需的材料费、设备费、人工费、服务费、运输费、安装调试费、税费、质保期内维护费（含维修、养护、软件升级等）、必要的保险或检测费用等其他一切费用</w:t>
            </w:r>
          </w:p>
        </w:tc>
      </w:tr>
      <w:tr>
        <w:tblPrEx>
          <w:tblCellMar>
            <w:top w:w="13" w:type="dxa"/>
            <w:left w:w="57" w:type="dxa"/>
            <w:bottom w:w="0" w:type="dxa"/>
            <w:right w:w="57" w:type="dxa"/>
          </w:tblCellMar>
        </w:tblPrEx>
        <w:trPr>
          <w:trHeight w:val="20" w:hRule="atLeast"/>
        </w:trPr>
        <w:tc>
          <w:tcPr>
            <w:tcW w:w="8352" w:type="dxa"/>
            <w:gridSpan w:val="7"/>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仿宋"/>
                <w:b/>
                <w:color w:val="000000"/>
                <w:szCs w:val="21"/>
              </w:rPr>
            </w:pPr>
            <w:r>
              <w:rPr>
                <w:rFonts w:hint="eastAsia" w:ascii="宋体" w:hAnsi="宋体"/>
                <w:b/>
                <w:szCs w:val="21"/>
              </w:rPr>
              <w:t>▲</w:t>
            </w:r>
            <w:r>
              <w:rPr>
                <w:rFonts w:hint="eastAsia" w:ascii="宋体" w:hAnsi="宋体" w:cs="宋体"/>
                <w:b/>
                <w:bCs/>
                <w:szCs w:val="21"/>
              </w:rPr>
              <w:t>三、其他需求</w:t>
            </w:r>
          </w:p>
        </w:tc>
      </w:tr>
      <w:tr>
        <w:tblPrEx>
          <w:tblCellMar>
            <w:top w:w="13" w:type="dxa"/>
            <w:left w:w="57" w:type="dxa"/>
            <w:bottom w:w="0" w:type="dxa"/>
            <w:right w:w="57" w:type="dxa"/>
          </w:tblCellMar>
        </w:tblPrEx>
        <w:trPr>
          <w:trHeight w:val="2020" w:hRule="atLeast"/>
        </w:trPr>
        <w:tc>
          <w:tcPr>
            <w:tcW w:w="1259" w:type="dxa"/>
            <w:gridSpan w:val="3"/>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宋体"/>
                <w:b/>
                <w:bCs/>
                <w:szCs w:val="21"/>
              </w:rPr>
            </w:pPr>
            <w:r>
              <w:rPr>
                <w:rFonts w:hint="eastAsia" w:ascii="宋体" w:hAnsi="宋体" w:cs="宋体"/>
                <w:b/>
                <w:bCs/>
                <w:szCs w:val="21"/>
              </w:rPr>
              <w:t>其它要求</w:t>
            </w:r>
          </w:p>
        </w:tc>
        <w:tc>
          <w:tcPr>
            <w:tcW w:w="7093" w:type="dxa"/>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pPr>
              <w:rPr>
                <w:rFonts w:hint="eastAsia" w:ascii="宋体" w:hAnsi="宋体" w:cs="宋体"/>
                <w:szCs w:val="21"/>
              </w:rPr>
            </w:pPr>
            <w:r>
              <w:rPr>
                <w:rFonts w:hint="eastAsia" w:ascii="宋体" w:hAnsi="宋体" w:cs="宋体"/>
                <w:szCs w:val="21"/>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pPr>
              <w:rPr>
                <w:rFonts w:hint="eastAsia" w:ascii="宋体" w:hAnsi="宋体" w:cs="宋体"/>
                <w:szCs w:val="21"/>
              </w:rPr>
            </w:pPr>
            <w:r>
              <w:rPr>
                <w:rFonts w:hint="eastAsia" w:ascii="宋体" w:hAnsi="宋体" w:cs="宋体"/>
                <w:szCs w:val="21"/>
              </w:rPr>
              <w:t>2、成交供应商在收到成交结果通知之日起5个工作日内必须向采购人提供询价货物的以下纸质资料：</w:t>
            </w:r>
          </w:p>
          <w:p>
            <w:pPr>
              <w:rPr>
                <w:rFonts w:hint="eastAsia" w:ascii="宋体" w:hAnsi="宋体" w:cs="宋体"/>
                <w:szCs w:val="21"/>
              </w:rPr>
            </w:pPr>
            <w:r>
              <w:rPr>
                <w:rFonts w:hint="eastAsia" w:ascii="宋体" w:hAnsi="宋体" w:cs="宋体"/>
                <w:szCs w:val="21"/>
              </w:rPr>
              <w:t>（1）提供厂家针对该项目的授权书，并加盖厂家公章。</w:t>
            </w:r>
          </w:p>
          <w:p>
            <w:pPr>
              <w:rPr>
                <w:rFonts w:hint="eastAsia" w:ascii="宋体" w:hAnsi="宋体" w:cs="宋体"/>
                <w:b/>
                <w:bCs/>
                <w:szCs w:val="21"/>
              </w:rPr>
            </w:pPr>
            <w:r>
              <w:rPr>
                <w:rFonts w:hint="eastAsia" w:ascii="宋体" w:hAnsi="宋体" w:cs="宋体"/>
                <w:szCs w:val="21"/>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E9A58F"/>
    <w:multiLevelType w:val="singleLevel"/>
    <w:tmpl w:val="E1E9A58F"/>
    <w:lvl w:ilvl="0" w:tentative="0">
      <w:start w:val="2"/>
      <w:numFmt w:val="decimal"/>
      <w:suff w:val="nothing"/>
      <w:lvlText w:val="%1．"/>
      <w:lvlJc w:val="left"/>
      <w:pPr>
        <w:ind w:left="619" w:firstLine="0"/>
      </w:pPr>
    </w:lvl>
  </w:abstractNum>
  <w:abstractNum w:abstractNumId="1">
    <w:nsid w:val="2A371A66"/>
    <w:multiLevelType w:val="singleLevel"/>
    <w:tmpl w:val="2A371A66"/>
    <w:lvl w:ilvl="0" w:tentative="0">
      <w:start w:val="1"/>
      <w:numFmt w:val="decimal"/>
      <w:lvlText w:val="%1."/>
      <w:lvlJc w:val="left"/>
      <w:pPr>
        <w:ind w:left="425" w:hanging="425"/>
      </w:pPr>
    </w:lvl>
  </w:abstractNum>
  <w:abstractNum w:abstractNumId="2">
    <w:nsid w:val="78F06FAE"/>
    <w:multiLevelType w:val="multilevel"/>
    <w:tmpl w:val="78F06FAE"/>
    <w:lvl w:ilvl="0" w:tentative="0">
      <w:start w:val="1"/>
      <w:numFmt w:val="decimal"/>
      <w:lvlText w:val="%1."/>
      <w:lvlJc w:val="left"/>
      <w:pPr>
        <w:ind w:left="420" w:hanging="420"/>
      </w:pPr>
      <w:rPr>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5C"/>
    <w:rsid w:val="000B73F7"/>
    <w:rsid w:val="00210150"/>
    <w:rsid w:val="006170F8"/>
    <w:rsid w:val="006D407F"/>
    <w:rsid w:val="008E7F5C"/>
    <w:rsid w:val="00F34649"/>
    <w:rsid w:val="037477E4"/>
    <w:rsid w:val="18E91F4D"/>
    <w:rsid w:val="2F9E3253"/>
    <w:rsid w:val="368C434B"/>
    <w:rsid w:val="40A765C8"/>
    <w:rsid w:val="45B8631A"/>
    <w:rsid w:val="47FE6321"/>
    <w:rsid w:val="548E5CAE"/>
    <w:rsid w:val="5D2F7431"/>
    <w:rsid w:val="6F4A4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jc w:val="left"/>
    </w:pPr>
    <w:rPr>
      <w:sz w:val="18"/>
      <w:szCs w:val="18"/>
    </w:rPr>
  </w:style>
  <w:style w:type="paragraph" w:styleId="4">
    <w:name w:val="header"/>
    <w:basedOn w:val="1"/>
    <w:link w:val="8"/>
    <w:qFormat/>
    <w:uiPriority w:val="0"/>
    <w:pPr>
      <w:tabs>
        <w:tab w:val="center" w:pos="4153"/>
        <w:tab w:val="right" w:pos="8306"/>
      </w:tabs>
      <w:jc w:val="center"/>
    </w:pPr>
    <w:rPr>
      <w:sz w:val="18"/>
      <w:szCs w:val="18"/>
    </w:rPr>
  </w:style>
  <w:style w:type="paragraph" w:styleId="5">
    <w:name w:val="toc 1"/>
    <w:basedOn w:val="1"/>
    <w:next w:val="1"/>
    <w:unhideWhenUsed/>
    <w:qFormat/>
    <w:uiPriority w:val="39"/>
  </w:style>
  <w:style w:type="character" w:customStyle="1" w:styleId="8">
    <w:name w:val="页眉 字符"/>
    <w:link w:val="4"/>
    <w:qFormat/>
    <w:uiPriority w:val="0"/>
    <w:rPr>
      <w:kern w:val="2"/>
      <w:sz w:val="18"/>
      <w:szCs w:val="18"/>
    </w:rPr>
  </w:style>
  <w:style w:type="paragraph" w:customStyle="1" w:styleId="9">
    <w:name w:val="列表段落1"/>
    <w:basedOn w:val="1"/>
    <w:qFormat/>
    <w:uiPriority w:val="0"/>
    <w:pPr>
      <w:ind w:firstLine="420" w:firstLineChars="200"/>
    </w:pPr>
    <w:rPr>
      <w:rFonts w:ascii="Times New Roman" w:hAnsi="Times New Roman"/>
      <w:szCs w:val="21"/>
    </w:rPr>
  </w:style>
  <w:style w:type="character" w:customStyle="1" w:styleId="10">
    <w:name w:val="font31"/>
    <w:qFormat/>
    <w:uiPriority w:val="0"/>
    <w:rPr>
      <w:rFonts w:hint="eastAsia" w:ascii="宋体" w:hAnsi="宋体" w:eastAsia="宋体" w:cs="宋体"/>
      <w:b/>
      <w:bCs/>
      <w:color w:val="000000"/>
      <w:sz w:val="20"/>
      <w:szCs w:val="20"/>
      <w:u w:val="none"/>
    </w:rPr>
  </w:style>
  <w:style w:type="character" w:customStyle="1" w:styleId="11">
    <w:name w:val="页脚 字符"/>
    <w:link w:val="3"/>
    <w:qFormat/>
    <w:uiPriority w:val="0"/>
    <w:rPr>
      <w:kern w:val="2"/>
      <w:sz w:val="18"/>
      <w:szCs w:val="18"/>
    </w:rPr>
  </w:style>
  <w:style w:type="character" w:customStyle="1" w:styleId="12">
    <w:name w:val="font2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1936</Words>
  <Characters>2045</Characters>
  <Lines>42</Lines>
  <Paragraphs>48</Paragraphs>
  <TotalTime>1</TotalTime>
  <ScaleCrop>false</ScaleCrop>
  <LinksUpToDate>false</LinksUpToDate>
  <CharactersWithSpaces>2077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2025-09-09T10:37:00Z</dcterms:created>
  <dc:creator>lenovo</dc:creator>
  <cp:lastModifiedBy>江</cp:lastModifiedBy>
  <cp:lastPrinted>2025-09-09T02:39:00Z</cp:lastPrinted>
  <dcterms:modified xsi:type="dcterms:W3CDTF">2026-06-26T06:50:35Z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eyJoZGlkIjoiN2IzMzYwYmY5OGFmNmJiZmEzOTliMjg4MzQ4NWRjNzEiLCJ1c2VySWQiOiIzODgyODQ1MzAifQ==</vt:lpwstr>
  </property>
  <property fmtid="{D5CDD505-2E9C-101B-9397-08002B2CF9AE}" pid="3" name="KSOProductBuildVer">
    <vt:lpwstr>2052-11.8.2.11813</vt:lpwstr>
  </property>
  <property fmtid="{D5CDD505-2E9C-101B-9397-08002B2CF9AE}" pid="4" name="ICV">
    <vt:lpwstr>133B83980825445B880C333B77907F47</vt:lpwstr>
  </property>
</Properties>
</file>