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05D12">
      <w:pPr>
        <w:pStyle w:val="2"/>
        <w:widowControl/>
        <w:spacing w:beforeAutospacing="0" w:afterAutospacing="0" w:line="360" w:lineRule="atLeast"/>
        <w:rPr>
          <w:rFonts w:hint="default" w:ascii="仿宋_GB2312" w:hAnsi="仿宋_GB2312" w:eastAsia="仿宋_GB2312" w:cs="仿宋_GB2312"/>
          <w:color w:val="000000"/>
          <w:sz w:val="32"/>
          <w:szCs w:val="32"/>
        </w:rPr>
      </w:pPr>
      <w:bookmarkStart w:id="0" w:name="_GoBack"/>
      <w:r>
        <w:rPr>
          <w:rFonts w:ascii="仿宋_GB2312" w:hAnsi="仿宋_GB2312" w:eastAsia="仿宋_GB2312" w:cs="仿宋_GB2312"/>
          <w:color w:val="000000"/>
          <w:sz w:val="32"/>
          <w:szCs w:val="32"/>
        </w:rPr>
        <w:t>附件 3：采购需求</w:t>
      </w:r>
    </w:p>
    <w:bookmarkEnd w:id="0"/>
    <w:p w14:paraId="725A120E">
      <w:pPr>
        <w:pStyle w:val="3"/>
        <w:widowControl/>
        <w:spacing w:beforeAutospacing="0" w:afterAutospacing="0" w:line="360" w:lineRule="atLeast"/>
        <w:ind w:firstLine="482" w:firstLineChars="200"/>
        <w:rPr>
          <w:rFonts w:hint="default"/>
          <w:color w:val="000000"/>
          <w:sz w:val="24"/>
          <w:szCs w:val="24"/>
        </w:rPr>
      </w:pPr>
      <w:r>
        <w:rPr>
          <w:color w:val="000000"/>
          <w:sz w:val="24"/>
          <w:szCs w:val="24"/>
        </w:rPr>
        <w:t>一、项目概况</w:t>
      </w:r>
    </w:p>
    <w:p w14:paraId="0D14621A">
      <w:pPr>
        <w:widowControl/>
        <w:spacing w:line="360" w:lineRule="atLeast"/>
        <w:ind w:firstLine="480" w:firstLineChars="200"/>
        <w:jc w:val="left"/>
        <w:rPr>
          <w:color w:val="000000"/>
          <w:sz w:val="24"/>
        </w:rPr>
      </w:pPr>
      <w:r>
        <w:rPr>
          <w:rFonts w:ascii="宋体" w:hAnsi="宋体" w:eastAsia="宋体" w:cs="宋体"/>
          <w:color w:val="000000"/>
          <w:kern w:val="0"/>
          <w:sz w:val="24"/>
          <w:lang w:bidi="ar"/>
        </w:rPr>
        <w:t>项目名称：</w:t>
      </w:r>
      <w:r>
        <w:rPr>
          <w:rFonts w:hint="eastAsia" w:ascii="宋体" w:hAnsi="宋体" w:eastAsia="宋体" w:cs="宋体"/>
          <w:color w:val="000000"/>
          <w:kern w:val="0"/>
          <w:sz w:val="24"/>
          <w:lang w:bidi="ar"/>
        </w:rPr>
        <w:t>清理明秀校区化粪池、转粪池采购项目</w:t>
      </w:r>
      <w:r>
        <w:rPr>
          <w:rFonts w:hint="eastAsia" w:ascii="宋体" w:hAnsi="宋体" w:eastAsia="宋体" w:cs="宋体"/>
          <w:color w:val="auto"/>
          <w:kern w:val="0"/>
          <w:sz w:val="24"/>
          <w:lang w:bidi="ar"/>
        </w:rPr>
        <w:t>（</w:t>
      </w:r>
      <w:r>
        <w:rPr>
          <w:rFonts w:ascii="宋体" w:hAnsi="宋体" w:eastAsia="宋体" w:cs="宋体"/>
          <w:color w:val="auto"/>
          <w:kern w:val="0"/>
          <w:sz w:val="24"/>
          <w:lang w:bidi="ar"/>
        </w:rPr>
        <w:t>编号：</w:t>
      </w:r>
      <w:r>
        <w:rPr>
          <w:rFonts w:hint="eastAsia" w:ascii="宋体" w:hAnsi="宋体" w:eastAsia="宋体" w:cs="宋体"/>
          <w:color w:val="auto"/>
          <w:kern w:val="0"/>
          <w:sz w:val="24"/>
          <w:lang w:bidi="ar"/>
        </w:rPr>
        <w:t>GUCM-202</w:t>
      </w:r>
      <w:r>
        <w:rPr>
          <w:rFonts w:hint="eastAsia" w:ascii="宋体" w:hAnsi="宋体" w:eastAsia="宋体" w:cs="宋体"/>
          <w:color w:val="auto"/>
          <w:kern w:val="0"/>
          <w:sz w:val="24"/>
          <w:lang w:val="en-US" w:eastAsia="zh-CN" w:bidi="ar"/>
        </w:rPr>
        <w:t>6</w:t>
      </w:r>
      <w:r>
        <w:rPr>
          <w:rFonts w:hint="eastAsia" w:ascii="宋体" w:hAnsi="宋体" w:eastAsia="宋体" w:cs="宋体"/>
          <w:color w:val="auto"/>
          <w:kern w:val="0"/>
          <w:sz w:val="24"/>
          <w:lang w:bidi="ar"/>
        </w:rPr>
        <w:t>-XJ-00</w:t>
      </w:r>
      <w:r>
        <w:rPr>
          <w:rFonts w:hint="eastAsia" w:ascii="宋体" w:hAnsi="宋体" w:eastAsia="宋体" w:cs="宋体"/>
          <w:color w:val="auto"/>
          <w:kern w:val="0"/>
          <w:sz w:val="24"/>
          <w:lang w:val="en-US" w:eastAsia="zh-CN" w:bidi="ar"/>
        </w:rPr>
        <w:t>4</w:t>
      </w:r>
      <w:r>
        <w:rPr>
          <w:rFonts w:hint="eastAsia" w:ascii="宋体" w:hAnsi="宋体" w:eastAsia="宋体" w:cs="宋体"/>
          <w:color w:val="auto"/>
          <w:kern w:val="0"/>
          <w:sz w:val="24"/>
          <w:lang w:bidi="ar"/>
        </w:rPr>
        <w:t>-L</w:t>
      </w:r>
      <w:r>
        <w:rPr>
          <w:rFonts w:hint="eastAsia" w:ascii="宋体" w:hAnsi="宋体" w:eastAsia="宋体" w:cs="宋体"/>
          <w:color w:val="auto"/>
          <w:kern w:val="0"/>
          <w:sz w:val="24"/>
          <w:lang w:val="en-US" w:eastAsia="zh-CN" w:bidi="ar"/>
        </w:rPr>
        <w:t>wj</w:t>
      </w:r>
      <w:r>
        <w:rPr>
          <w:rFonts w:hint="eastAsia" w:ascii="宋体" w:hAnsi="宋体" w:eastAsia="宋体" w:cs="宋体"/>
          <w:color w:val="auto"/>
          <w:kern w:val="0"/>
          <w:sz w:val="24"/>
          <w:lang w:bidi="ar"/>
        </w:rPr>
        <w:t>）</w:t>
      </w:r>
      <w:r>
        <w:rPr>
          <w:rFonts w:ascii="宋体" w:hAnsi="宋体" w:eastAsia="宋体" w:cs="宋体"/>
          <w:color w:val="auto"/>
          <w:kern w:val="0"/>
          <w:sz w:val="24"/>
          <w:lang w:bidi="ar"/>
        </w:rPr>
        <w:t>采购内容：</w:t>
      </w:r>
      <w:r>
        <w:rPr>
          <w:rFonts w:hint="eastAsia" w:ascii="宋体" w:hAnsi="宋体" w:eastAsia="宋体" w:cs="宋体"/>
          <w:color w:val="auto"/>
          <w:kern w:val="0"/>
          <w:sz w:val="24"/>
          <w:lang w:bidi="ar"/>
        </w:rPr>
        <w:t>清理明秀校区化粪池、转粪池</w:t>
      </w:r>
      <w:r>
        <w:rPr>
          <w:rFonts w:ascii="宋体" w:hAnsi="宋体" w:eastAsia="宋体" w:cs="宋体"/>
          <w:color w:val="000000"/>
          <w:kern w:val="0"/>
          <w:sz w:val="24"/>
          <w:lang w:bidi="ar"/>
        </w:rPr>
        <w:t>。</w:t>
      </w:r>
    </w:p>
    <w:p w14:paraId="76FCC586">
      <w:pPr>
        <w:pStyle w:val="3"/>
        <w:widowControl/>
        <w:spacing w:beforeAutospacing="0" w:afterAutospacing="0" w:line="360" w:lineRule="atLeast"/>
        <w:ind w:firstLine="482" w:firstLineChars="200"/>
        <w:rPr>
          <w:rFonts w:hint="default"/>
          <w:color w:val="000000"/>
          <w:sz w:val="24"/>
          <w:szCs w:val="24"/>
        </w:rPr>
      </w:pPr>
      <w:r>
        <w:rPr>
          <w:color w:val="000000"/>
          <w:sz w:val="24"/>
          <w:szCs w:val="24"/>
        </w:rPr>
        <w:t>二、▲实质性技术参数要求（必须满足）</w:t>
      </w:r>
    </w:p>
    <w:p w14:paraId="2268503E"/>
    <w:tbl>
      <w:tblPr>
        <w:tblStyle w:val="4"/>
        <w:tblW w:w="5457" w:type="pct"/>
        <w:tblInd w:w="-417" w:type="dxa"/>
        <w:tblLayout w:type="autofit"/>
        <w:tblCellMar>
          <w:top w:w="0" w:type="dxa"/>
          <w:left w:w="0" w:type="dxa"/>
          <w:bottom w:w="0" w:type="dxa"/>
          <w:right w:w="0" w:type="dxa"/>
        </w:tblCellMar>
      </w:tblPr>
      <w:tblGrid>
        <w:gridCol w:w="806"/>
        <w:gridCol w:w="1024"/>
        <w:gridCol w:w="989"/>
        <w:gridCol w:w="4915"/>
        <w:gridCol w:w="879"/>
        <w:gridCol w:w="577"/>
      </w:tblGrid>
      <w:tr w14:paraId="54124B52">
        <w:tblPrEx>
          <w:tblCellMar>
            <w:top w:w="0" w:type="dxa"/>
            <w:left w:w="0" w:type="dxa"/>
            <w:bottom w:w="0" w:type="dxa"/>
            <w:right w:w="0" w:type="dxa"/>
          </w:tblCellMar>
        </w:tblPrEx>
        <w:trPr>
          <w:trHeight w:val="590" w:hRule="atLeast"/>
        </w:trPr>
        <w:tc>
          <w:tcPr>
            <w:tcW w:w="5000" w:type="pct"/>
            <w:gridSpan w:val="6"/>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4B3A904">
            <w:pPr>
              <w:rPr>
                <w:rFonts w:ascii="宋体" w:hAnsi="宋体" w:eastAsia="宋体"/>
                <w:b/>
                <w:bCs/>
                <w:color w:val="000000"/>
                <w:szCs w:val="21"/>
              </w:rPr>
            </w:pPr>
            <w:r>
              <w:rPr>
                <w:rFonts w:hint="eastAsia" w:ascii="宋体" w:hAnsi="宋体" w:eastAsia="宋体"/>
                <w:b/>
                <w:szCs w:val="21"/>
              </w:rPr>
              <w:t>▲</w:t>
            </w:r>
            <w:r>
              <w:rPr>
                <w:rFonts w:hint="eastAsia" w:ascii="宋体" w:hAnsi="宋体" w:eastAsia="宋体"/>
                <w:b/>
                <w:bCs/>
                <w:color w:val="000000"/>
                <w:szCs w:val="21"/>
              </w:rPr>
              <w:t>一、技术要求</w:t>
            </w:r>
          </w:p>
        </w:tc>
      </w:tr>
      <w:tr w14:paraId="0934EF12">
        <w:tblPrEx>
          <w:tblCellMar>
            <w:top w:w="0" w:type="dxa"/>
            <w:left w:w="0" w:type="dxa"/>
            <w:bottom w:w="0" w:type="dxa"/>
            <w:right w:w="0" w:type="dxa"/>
          </w:tblCellMar>
        </w:tblPrEx>
        <w:trPr>
          <w:trHeight w:val="800" w:hRule="atLeast"/>
        </w:trPr>
        <w:tc>
          <w:tcPr>
            <w:tcW w:w="439"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4C8C3FC">
            <w:pPr>
              <w:jc w:val="center"/>
              <w:rPr>
                <w:rFonts w:ascii="宋体" w:hAnsi="宋体" w:eastAsia="宋体"/>
                <w:b/>
                <w:bCs/>
                <w:color w:val="000000"/>
                <w:kern w:val="0"/>
                <w:szCs w:val="21"/>
              </w:rPr>
            </w:pPr>
            <w:r>
              <w:rPr>
                <w:rFonts w:hint="eastAsia" w:ascii="宋体" w:hAnsi="宋体" w:eastAsia="宋体"/>
                <w:b/>
                <w:bCs/>
                <w:color w:val="000000"/>
                <w:kern w:val="0"/>
                <w:szCs w:val="21"/>
              </w:rPr>
              <w:t>序号</w:t>
            </w:r>
          </w:p>
        </w:tc>
        <w:tc>
          <w:tcPr>
            <w:tcW w:w="5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57665E5">
            <w:pPr>
              <w:snapToGrid w:val="0"/>
              <w:jc w:val="center"/>
              <w:rPr>
                <w:rFonts w:ascii="宋体" w:hAnsi="宋体" w:eastAsia="宋体"/>
                <w:b/>
                <w:bCs/>
                <w:color w:val="000000"/>
                <w:szCs w:val="21"/>
              </w:rPr>
            </w:pPr>
            <w:r>
              <w:rPr>
                <w:rFonts w:hint="eastAsia" w:ascii="宋体" w:hAnsi="宋体" w:eastAsia="宋体"/>
                <w:b/>
                <w:bCs/>
                <w:color w:val="000000"/>
                <w:szCs w:val="21"/>
              </w:rPr>
              <w:t>采购内容</w:t>
            </w:r>
          </w:p>
        </w:tc>
        <w:tc>
          <w:tcPr>
            <w:tcW w:w="538"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102BF84">
            <w:pPr>
              <w:snapToGrid w:val="0"/>
              <w:jc w:val="center"/>
              <w:rPr>
                <w:rFonts w:ascii="宋体" w:hAnsi="宋体" w:eastAsia="宋体"/>
                <w:b/>
                <w:bCs/>
                <w:color w:val="000000"/>
                <w:kern w:val="0"/>
                <w:szCs w:val="21"/>
              </w:rPr>
            </w:pPr>
            <w:r>
              <w:rPr>
                <w:rFonts w:hint="eastAsia" w:ascii="宋体" w:hAnsi="宋体" w:eastAsia="宋体"/>
                <w:b/>
                <w:bCs/>
                <w:color w:val="000000"/>
                <w:szCs w:val="21"/>
              </w:rPr>
              <w:t>参考品牌型号</w:t>
            </w:r>
          </w:p>
        </w:tc>
        <w:tc>
          <w:tcPr>
            <w:tcW w:w="267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DE7CCDD">
            <w:pPr>
              <w:jc w:val="center"/>
              <w:rPr>
                <w:rFonts w:ascii="宋体" w:hAnsi="宋体" w:eastAsia="宋体"/>
                <w:b/>
                <w:bCs/>
                <w:color w:val="000000"/>
                <w:szCs w:val="21"/>
              </w:rPr>
            </w:pPr>
            <w:r>
              <w:rPr>
                <w:rFonts w:hint="eastAsia" w:ascii="宋体" w:hAnsi="宋体" w:eastAsia="宋体" w:cs="仿宋_GB2312"/>
                <w:b/>
                <w:bCs/>
                <w:color w:val="000000"/>
                <w:kern w:val="0"/>
                <w:szCs w:val="21"/>
              </w:rPr>
              <w:t>技术参数</w:t>
            </w:r>
          </w:p>
        </w:tc>
        <w:tc>
          <w:tcPr>
            <w:tcW w:w="478" w:type="pct"/>
            <w:tcBorders>
              <w:top w:val="single" w:color="auto" w:sz="4" w:space="0"/>
              <w:left w:val="nil"/>
              <w:bottom w:val="single" w:color="auto" w:sz="4" w:space="0"/>
              <w:right w:val="single" w:color="auto" w:sz="4" w:space="0"/>
            </w:tcBorders>
            <w:vAlign w:val="center"/>
          </w:tcPr>
          <w:p w14:paraId="69539E8F">
            <w:pPr>
              <w:jc w:val="center"/>
              <w:rPr>
                <w:rFonts w:ascii="宋体" w:hAnsi="宋体" w:eastAsia="宋体" w:cs="仿宋_GB2312"/>
                <w:b/>
                <w:bCs/>
                <w:color w:val="000000"/>
                <w:kern w:val="0"/>
                <w:szCs w:val="21"/>
              </w:rPr>
            </w:pPr>
            <w:r>
              <w:rPr>
                <w:rFonts w:hint="eastAsia" w:ascii="宋体" w:hAnsi="宋体" w:eastAsia="宋体" w:cs="仿宋_GB2312"/>
                <w:b/>
                <w:bCs/>
                <w:color w:val="000000"/>
                <w:kern w:val="0"/>
                <w:szCs w:val="21"/>
              </w:rPr>
              <w:t>计量</w:t>
            </w:r>
          </w:p>
          <w:p w14:paraId="0046C508">
            <w:pPr>
              <w:jc w:val="center"/>
              <w:rPr>
                <w:rFonts w:ascii="宋体" w:hAnsi="宋体" w:eastAsia="宋体"/>
                <w:b/>
                <w:bCs/>
                <w:color w:val="000000"/>
                <w:szCs w:val="21"/>
              </w:rPr>
            </w:pPr>
            <w:r>
              <w:rPr>
                <w:rFonts w:hint="eastAsia" w:ascii="宋体" w:hAnsi="宋体" w:eastAsia="宋体" w:cs="仿宋_GB2312"/>
                <w:b/>
                <w:bCs/>
                <w:color w:val="000000"/>
                <w:kern w:val="0"/>
                <w:szCs w:val="21"/>
              </w:rPr>
              <w:t>单位</w:t>
            </w:r>
          </w:p>
        </w:tc>
        <w:tc>
          <w:tcPr>
            <w:tcW w:w="312" w:type="pct"/>
            <w:tcBorders>
              <w:top w:val="single" w:color="auto" w:sz="4" w:space="0"/>
              <w:left w:val="nil"/>
              <w:bottom w:val="single" w:color="auto" w:sz="4" w:space="0"/>
              <w:right w:val="single" w:color="auto" w:sz="4" w:space="0"/>
            </w:tcBorders>
            <w:vAlign w:val="center"/>
          </w:tcPr>
          <w:p w14:paraId="3824D641">
            <w:pPr>
              <w:jc w:val="center"/>
              <w:rPr>
                <w:rFonts w:ascii="宋体" w:hAnsi="宋体" w:eastAsia="宋体"/>
                <w:b/>
                <w:bCs/>
                <w:color w:val="000000"/>
                <w:szCs w:val="21"/>
              </w:rPr>
            </w:pPr>
            <w:r>
              <w:rPr>
                <w:rFonts w:hint="eastAsia" w:ascii="宋体" w:hAnsi="宋体" w:eastAsia="宋体" w:cs="仿宋_GB2312"/>
                <w:b/>
                <w:bCs/>
                <w:color w:val="000000"/>
                <w:kern w:val="0"/>
                <w:szCs w:val="21"/>
              </w:rPr>
              <w:t>数量</w:t>
            </w:r>
          </w:p>
        </w:tc>
      </w:tr>
      <w:tr w14:paraId="1D9A0E01">
        <w:tblPrEx>
          <w:tblCellMar>
            <w:top w:w="0" w:type="dxa"/>
            <w:left w:w="0" w:type="dxa"/>
            <w:bottom w:w="0" w:type="dxa"/>
            <w:right w:w="0" w:type="dxa"/>
          </w:tblCellMar>
        </w:tblPrEx>
        <w:trPr>
          <w:trHeight w:val="2401" w:hRule="atLeast"/>
        </w:trPr>
        <w:tc>
          <w:tcPr>
            <w:tcW w:w="439"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744285A">
            <w:pPr>
              <w:pStyle w:val="7"/>
              <w:keepNext w:val="0"/>
              <w:keepLines w:val="0"/>
              <w:pageBreakBefore w:val="0"/>
              <w:widowControl/>
              <w:numPr>
                <w:ilvl w:val="0"/>
                <w:numId w:val="0"/>
              </w:numPr>
              <w:kinsoku/>
              <w:wordWrap/>
              <w:overflowPunct/>
              <w:topLinePunct w:val="0"/>
              <w:autoSpaceDE/>
              <w:autoSpaceDN/>
              <w:bidi w:val="0"/>
              <w:adjustRightInd/>
              <w:spacing w:line="420" w:lineRule="exact"/>
              <w:ind w:leftChars="0"/>
              <w:jc w:val="both"/>
              <w:textAlignment w:val="center"/>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1</w:t>
            </w:r>
          </w:p>
        </w:tc>
        <w:tc>
          <w:tcPr>
            <w:tcW w:w="557"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8AC9E46">
            <w:pPr>
              <w:keepNext w:val="0"/>
              <w:keepLines w:val="0"/>
              <w:pageBreakBefore w:val="0"/>
              <w:widowControl/>
              <w:kinsoku/>
              <w:wordWrap/>
              <w:overflowPunct/>
              <w:topLinePunct w:val="0"/>
              <w:autoSpaceDE/>
              <w:autoSpaceDN/>
              <w:bidi w:val="0"/>
              <w:adjustRightInd/>
              <w:snapToGrid w:val="0"/>
              <w:spacing w:line="420" w:lineRule="exact"/>
              <w:jc w:val="center"/>
              <w:textAlignment w:val="center"/>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kern w:val="0"/>
                <w:szCs w:val="21"/>
              </w:rPr>
              <w:t>清理明秀校区化粪池、转粪池</w:t>
            </w:r>
          </w:p>
        </w:tc>
        <w:tc>
          <w:tcPr>
            <w:tcW w:w="538"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tcPr>
          <w:p w14:paraId="26F24CBD">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143C106A">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481CCA59">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0EA82F5B">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2D39F7FD">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1B8535F7">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3D573E2A">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6DE5D2A0">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6C4CC960">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451FF46C">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0CD7037D">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4EDCB869">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7340E6C2">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5116F3FE">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17B24793">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73519107">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1663E7AD">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6BC22371">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p w14:paraId="3B1F9ACB">
            <w:pPr>
              <w:keepNext w:val="0"/>
              <w:keepLines w:val="0"/>
              <w:pageBreakBefore w:val="0"/>
              <w:widowControl/>
              <w:kinsoku/>
              <w:wordWrap/>
              <w:overflowPunct/>
              <w:topLinePunct w:val="0"/>
              <w:autoSpaceDE/>
              <w:autoSpaceDN/>
              <w:bidi w:val="0"/>
              <w:adjustRightInd/>
              <w:snapToGrid w:val="0"/>
              <w:spacing w:line="420" w:lineRule="exact"/>
              <w:jc w:val="center"/>
              <w:textAlignment w:val="top"/>
              <w:rPr>
                <w:rFonts w:hint="eastAsia" w:ascii="方正仿宋_GB2312" w:hAnsi="方正仿宋_GB2312" w:eastAsia="方正仿宋_GB2312" w:cs="方正仿宋_GB2312"/>
                <w:color w:val="000000"/>
                <w:kern w:val="0"/>
                <w:sz w:val="24"/>
                <w:szCs w:val="24"/>
                <w:lang w:val="en-US" w:eastAsia="zh-CN" w:bidi="ar"/>
              </w:rPr>
            </w:pPr>
          </w:p>
        </w:tc>
        <w:tc>
          <w:tcPr>
            <w:tcW w:w="2674"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5BE3990">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一、服务范围：</w:t>
            </w:r>
          </w:p>
          <w:p w14:paraId="108041F3">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负责明秀校区综合楼、西三栋、时珍楼、留学生楼、办公楼、西1、3栋学生宿舍、西A、B教室、图书馆、6栋、7栋、8栋、9栋、10栋、青工楼、解剖楼、国教院、C座、B座、基础楼、会展中心、壮医楼等所有化粪池和转粪池的粪便及垃圾清理。</w:t>
            </w:r>
          </w:p>
          <w:p w14:paraId="6A32158C">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二、服务要求</w:t>
            </w:r>
          </w:p>
          <w:p w14:paraId="11335938">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1、自签订合同之日起30天内清理完成。要求吸粪车应完好，输粪管道应完好、畅通，闸阀应严密，无破损、滴漏。</w:t>
            </w:r>
          </w:p>
          <w:p w14:paraId="4E1D88EF">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2、清理内容：包括清理干净明秀校区所有化粪池24个共171车（3立方/车）和转粪池内的粪便及垃圾。并按政府要求把化粪池内粪便及不可降解垃圾、油渣分类分开，一并用吸粪车和密闭车辆拉至政府要求集中处理的地点进行处理，并保持地面清洁干净。清理干净后至验收化粪池内的漂浮物不能超过2CM厚。</w:t>
            </w:r>
          </w:p>
          <w:p w14:paraId="173C5B09">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3、清理结束以后化粪池和转粪池确保合同期内不堵塞、污水不外溢。如发生堵塞情况供应商须在4小时内到达现场处理疏通、清运，保证不影响学校正常使用。</w:t>
            </w:r>
          </w:p>
          <w:p w14:paraId="3181D1B3">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★4、供应商必须具有营业执照，经营范围：城市生活垃圾经营、环境卫生管理、化粪池、污水池、淤泥清理和处理服务。</w:t>
            </w:r>
          </w:p>
          <w:p w14:paraId="1B1B4A3E">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提供：项目实施成员必须是供应商现正式员工，投标文件至少提供3名最近3个月社保证明（需附二维码查询）。</w:t>
            </w:r>
          </w:p>
          <w:p w14:paraId="5BC2734D">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三、施工安全</w:t>
            </w:r>
          </w:p>
          <w:p w14:paraId="477F9F0C">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1、供应商吸粪车进出校园内必须按规定限速内行驶，做到文明安全行驶，确保师生安全。</w:t>
            </w:r>
          </w:p>
          <w:p w14:paraId="27129105">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2、合同生效之日起，供应商作业人员应自行购买人身意外伤害、车辆等保险。</w:t>
            </w:r>
          </w:p>
          <w:p w14:paraId="46FAA15D">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3、供应商作业人员必须按照安全操作规程作业，戴好安全帽、穿好防护服、防毒面具、防滑鞋等，落实好所有安全技术措施和确保施工现场做好防护措施后才能进行施工,在清理服务过程中因中标商原因引起和造成的人员伤亡、财产损失由中标商负全责。</w:t>
            </w:r>
          </w:p>
          <w:p w14:paraId="2BD4B8B4">
            <w:pPr>
              <w:keepNext w:val="0"/>
              <w:keepLines w:val="0"/>
              <w:pageBreakBefore w:val="0"/>
              <w:kinsoku/>
              <w:wordWrap/>
              <w:overflowPunct/>
              <w:topLinePunct w:val="0"/>
              <w:autoSpaceDE/>
              <w:autoSpaceDN/>
              <w:bidi w:val="0"/>
              <w:adjustRightInd/>
              <w:spacing w:line="420" w:lineRule="exact"/>
              <w:jc w:val="left"/>
              <w:rPr>
                <w:rFonts w:hint="eastAsia" w:ascii="方正仿宋_GB2312" w:hAnsi="方正仿宋_GB2312" w:eastAsia="方正仿宋_GB2312" w:cs="方正仿宋_GB2312"/>
                <w:color w:val="000000"/>
                <w:kern w:val="0"/>
                <w:sz w:val="24"/>
                <w:szCs w:val="24"/>
                <w:lang w:val="en-US" w:eastAsia="zh-CN" w:bidi="ar"/>
              </w:rPr>
            </w:pPr>
          </w:p>
        </w:tc>
        <w:tc>
          <w:tcPr>
            <w:tcW w:w="478" w:type="pct"/>
            <w:tcBorders>
              <w:top w:val="single" w:color="auto" w:sz="4" w:space="0"/>
              <w:left w:val="nil"/>
              <w:bottom w:val="single" w:color="auto" w:sz="4" w:space="0"/>
              <w:right w:val="single" w:color="auto" w:sz="4" w:space="0"/>
            </w:tcBorders>
            <w:vAlign w:val="center"/>
          </w:tcPr>
          <w:p w14:paraId="28C357FC">
            <w:pPr>
              <w:keepNext w:val="0"/>
              <w:keepLines w:val="0"/>
              <w:pageBreakBefore w:val="0"/>
              <w:widowControl/>
              <w:kinsoku/>
              <w:wordWrap/>
              <w:overflowPunct/>
              <w:topLinePunct w:val="0"/>
              <w:autoSpaceDE/>
              <w:autoSpaceDN/>
              <w:bidi w:val="0"/>
              <w:adjustRightInd/>
              <w:spacing w:line="420" w:lineRule="exact"/>
              <w:jc w:val="center"/>
              <w:textAlignment w:val="center"/>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台</w:t>
            </w:r>
          </w:p>
        </w:tc>
        <w:tc>
          <w:tcPr>
            <w:tcW w:w="312" w:type="pct"/>
            <w:tcBorders>
              <w:top w:val="single" w:color="auto" w:sz="4" w:space="0"/>
              <w:left w:val="nil"/>
              <w:bottom w:val="single" w:color="auto" w:sz="4" w:space="0"/>
              <w:right w:val="single" w:color="auto" w:sz="4" w:space="0"/>
            </w:tcBorders>
            <w:vAlign w:val="center"/>
          </w:tcPr>
          <w:p w14:paraId="28A7E91A">
            <w:pPr>
              <w:keepNext w:val="0"/>
              <w:keepLines w:val="0"/>
              <w:pageBreakBefore w:val="0"/>
              <w:widowControl/>
              <w:kinsoku/>
              <w:wordWrap/>
              <w:overflowPunct/>
              <w:topLinePunct w:val="0"/>
              <w:autoSpaceDE/>
              <w:autoSpaceDN/>
              <w:bidi w:val="0"/>
              <w:adjustRightInd/>
              <w:spacing w:line="420" w:lineRule="exact"/>
              <w:jc w:val="center"/>
              <w:textAlignment w:val="center"/>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1</w:t>
            </w:r>
          </w:p>
        </w:tc>
      </w:tr>
    </w:tbl>
    <w:tbl>
      <w:tblPr>
        <w:tblStyle w:val="4"/>
        <w:tblpPr w:leftFromText="180" w:rightFromText="180" w:vertAnchor="text" w:horzAnchor="page" w:tblpX="1425" w:tblpY="18"/>
        <w:tblOverlap w:val="never"/>
        <w:tblW w:w="920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813"/>
        <w:gridCol w:w="7396"/>
      </w:tblGrid>
      <w:tr w14:paraId="601CD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9209" w:type="dxa"/>
            <w:gridSpan w:val="2"/>
            <w:tcBorders>
              <w:top w:val="single" w:color="auto" w:sz="4" w:space="0"/>
              <w:left w:val="single" w:color="auto" w:sz="4" w:space="0"/>
              <w:bottom w:val="single" w:color="auto" w:sz="4" w:space="0"/>
              <w:right w:val="single" w:color="auto" w:sz="4" w:space="0"/>
            </w:tcBorders>
            <w:vAlign w:val="center"/>
          </w:tcPr>
          <w:p w14:paraId="183B64BF">
            <w:pPr>
              <w:tabs>
                <w:tab w:val="left" w:pos="1820"/>
              </w:tabs>
              <w:spacing w:line="360" w:lineRule="auto"/>
              <w:rPr>
                <w:rFonts w:ascii="宋体" w:hAnsi="宋体" w:cs="宋体"/>
                <w:kern w:val="0"/>
                <w:szCs w:val="21"/>
              </w:rPr>
            </w:pPr>
            <w:r>
              <w:rPr>
                <w:rFonts w:hint="eastAsia" w:ascii="宋体" w:hAnsi="宋体" w:cs="宋体"/>
                <w:kern w:val="0"/>
                <w:szCs w:val="21"/>
              </w:rPr>
              <w:t>二、</w:t>
            </w:r>
            <w:r>
              <w:rPr>
                <w:rFonts w:hint="eastAsia" w:ascii="宋体" w:hAnsi="宋体"/>
                <w:b/>
                <w:sz w:val="24"/>
              </w:rPr>
              <w:t>▲</w:t>
            </w:r>
            <w:r>
              <w:rPr>
                <w:rFonts w:hint="eastAsia" w:ascii="宋体" w:hAnsi="宋体" w:cs="宋体"/>
                <w:kern w:val="0"/>
                <w:szCs w:val="21"/>
              </w:rPr>
              <w:t>商务需求</w:t>
            </w:r>
          </w:p>
        </w:tc>
      </w:tr>
      <w:tr w14:paraId="5AF0A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vMerge w:val="restart"/>
            <w:tcBorders>
              <w:top w:val="single" w:color="auto" w:sz="4" w:space="0"/>
              <w:left w:val="single" w:color="auto" w:sz="4" w:space="0"/>
              <w:right w:val="single" w:color="auto" w:sz="4" w:space="0"/>
            </w:tcBorders>
            <w:vAlign w:val="center"/>
          </w:tcPr>
          <w:p w14:paraId="04276020">
            <w:pPr>
              <w:autoSpaceDE w:val="0"/>
              <w:autoSpaceDN w:val="0"/>
              <w:adjustRightInd w:val="0"/>
              <w:spacing w:line="360" w:lineRule="auto"/>
              <w:jc w:val="center"/>
              <w:rPr>
                <w:rFonts w:ascii="宋体" w:hAnsi="宋体" w:eastAsia="宋体" w:cs="宋体"/>
                <w:kern w:val="0"/>
                <w:sz w:val="18"/>
                <w:szCs w:val="18"/>
              </w:rPr>
            </w:pPr>
            <w:r>
              <w:rPr>
                <w:rStyle w:val="6"/>
                <w:bCs/>
                <w:color w:val="000000"/>
                <w:sz w:val="24"/>
              </w:rPr>
              <w:t>服务</w:t>
            </w:r>
            <w:r>
              <w:rPr>
                <w:rStyle w:val="6"/>
                <w:rFonts w:hint="eastAsia"/>
                <w:bCs/>
                <w:color w:val="000000"/>
                <w:sz w:val="24"/>
                <w:lang w:val="en-US" w:eastAsia="zh-CN"/>
              </w:rPr>
              <w:t>期限及</w:t>
            </w:r>
            <w:r>
              <w:rPr>
                <w:rStyle w:val="6"/>
                <w:bCs/>
                <w:color w:val="000000"/>
                <w:sz w:val="24"/>
              </w:rPr>
              <w:t>地点</w:t>
            </w:r>
          </w:p>
        </w:tc>
        <w:tc>
          <w:tcPr>
            <w:tcW w:w="7396" w:type="dxa"/>
            <w:tcBorders>
              <w:top w:val="single" w:color="auto" w:sz="4" w:space="0"/>
              <w:left w:val="single" w:color="auto" w:sz="4" w:space="0"/>
              <w:bottom w:val="single" w:color="auto" w:sz="4" w:space="0"/>
              <w:right w:val="single" w:color="auto" w:sz="4" w:space="0"/>
            </w:tcBorders>
            <w:vAlign w:val="center"/>
          </w:tcPr>
          <w:p w14:paraId="586AFD71">
            <w:pPr>
              <w:keepNext w:val="0"/>
              <w:keepLines w:val="0"/>
              <w:pageBreakBefore w:val="0"/>
              <w:widowControl/>
              <w:kinsoku/>
              <w:wordWrap/>
              <w:overflowPunct/>
              <w:topLinePunct w:val="0"/>
              <w:autoSpaceDE w:val="0"/>
              <w:autoSpaceDN w:val="0"/>
              <w:bidi w:val="0"/>
              <w:adjustRightInd w:val="0"/>
              <w:snapToGrid/>
              <w:spacing w:line="340" w:lineRule="exact"/>
              <w:ind w:left="-360"/>
              <w:jc w:val="left"/>
              <w:textAlignment w:val="auto"/>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1、服务期限 ：合同服务期1年（合同签订之日起算）。</w:t>
            </w:r>
          </w:p>
        </w:tc>
      </w:tr>
      <w:tr w14:paraId="1F7590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vMerge w:val="continue"/>
            <w:tcBorders>
              <w:left w:val="single" w:color="auto" w:sz="4" w:space="0"/>
              <w:bottom w:val="single" w:color="auto" w:sz="4" w:space="0"/>
              <w:right w:val="single" w:color="auto" w:sz="4" w:space="0"/>
            </w:tcBorders>
            <w:vAlign w:val="center"/>
          </w:tcPr>
          <w:p w14:paraId="6358CB5A">
            <w:pPr>
              <w:autoSpaceDE w:val="0"/>
              <w:autoSpaceDN w:val="0"/>
              <w:adjustRightInd w:val="0"/>
              <w:spacing w:line="360" w:lineRule="auto"/>
              <w:jc w:val="left"/>
              <w:rPr>
                <w:rFonts w:ascii="宋体" w:hAnsi="宋体" w:eastAsia="宋体" w:cs="宋体"/>
                <w:sz w:val="18"/>
                <w:szCs w:val="18"/>
              </w:rPr>
            </w:pPr>
          </w:p>
        </w:tc>
        <w:tc>
          <w:tcPr>
            <w:tcW w:w="7396" w:type="dxa"/>
            <w:tcBorders>
              <w:top w:val="single" w:color="auto" w:sz="4" w:space="0"/>
              <w:left w:val="single" w:color="auto" w:sz="4" w:space="0"/>
              <w:bottom w:val="single" w:color="auto" w:sz="4" w:space="0"/>
              <w:right w:val="single" w:color="auto" w:sz="4" w:space="0"/>
            </w:tcBorders>
            <w:vAlign w:val="center"/>
          </w:tcPr>
          <w:p w14:paraId="1A4E9147">
            <w:pPr>
              <w:keepNext w:val="0"/>
              <w:keepLines w:val="0"/>
              <w:pageBreakBefore w:val="0"/>
              <w:widowControl/>
              <w:kinsoku/>
              <w:wordWrap/>
              <w:overflowPunct/>
              <w:topLinePunct w:val="0"/>
              <w:bidi w:val="0"/>
              <w:snapToGrid/>
              <w:spacing w:line="340" w:lineRule="exact"/>
              <w:ind w:left="-36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rPr>
              <w:t>2、服务地点：广西中医药大学明秀校区。</w:t>
            </w:r>
          </w:p>
        </w:tc>
      </w:tr>
      <w:tr w14:paraId="5A535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tcBorders>
              <w:top w:val="single" w:color="auto" w:sz="4" w:space="0"/>
              <w:left w:val="single" w:color="auto" w:sz="4" w:space="0"/>
              <w:bottom w:val="single" w:color="auto" w:sz="4" w:space="0"/>
              <w:right w:val="single" w:color="auto" w:sz="4" w:space="0"/>
            </w:tcBorders>
            <w:vAlign w:val="center"/>
          </w:tcPr>
          <w:p w14:paraId="6340C9C2">
            <w:pPr>
              <w:autoSpaceDE w:val="0"/>
              <w:autoSpaceDN w:val="0"/>
              <w:adjustRightInd w:val="0"/>
              <w:spacing w:line="360" w:lineRule="auto"/>
              <w:jc w:val="left"/>
              <w:rPr>
                <w:rFonts w:ascii="宋体" w:hAnsi="宋体" w:eastAsia="宋体" w:cs="宋体"/>
                <w:sz w:val="18"/>
                <w:szCs w:val="18"/>
              </w:rPr>
            </w:pPr>
            <w:r>
              <w:rPr>
                <w:rStyle w:val="6"/>
                <w:bCs/>
                <w:color w:val="000000"/>
                <w:sz w:val="24"/>
              </w:rPr>
              <w:t>付款方式</w:t>
            </w:r>
          </w:p>
        </w:tc>
        <w:tc>
          <w:tcPr>
            <w:tcW w:w="7396" w:type="dxa"/>
            <w:tcBorders>
              <w:top w:val="single" w:color="auto" w:sz="4" w:space="0"/>
              <w:left w:val="single" w:color="auto" w:sz="4" w:space="0"/>
              <w:bottom w:val="single" w:color="auto" w:sz="4" w:space="0"/>
              <w:right w:val="single" w:color="auto" w:sz="4" w:space="0"/>
            </w:tcBorders>
            <w:vAlign w:val="center"/>
          </w:tcPr>
          <w:p w14:paraId="05D85C3C">
            <w:pPr>
              <w:keepNext w:val="0"/>
              <w:keepLines w:val="0"/>
              <w:pageBreakBefore w:val="0"/>
              <w:widowControl/>
              <w:numPr>
                <w:ilvl w:val="0"/>
                <w:numId w:val="1"/>
              </w:numPr>
              <w:kinsoku/>
              <w:wordWrap/>
              <w:overflowPunct/>
              <w:topLinePunct w:val="0"/>
              <w:bidi w:val="0"/>
              <w:snapToGrid/>
              <w:spacing w:line="340" w:lineRule="exact"/>
              <w:ind w:left="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清理工作完成并经采购人验收合格后，</w:t>
            </w:r>
            <w:r>
              <w:rPr>
                <w:rFonts w:hint="eastAsia" w:ascii="方正仿宋_GB2312" w:hAnsi="方正仿宋_GB2312" w:eastAsia="方正仿宋_GB2312" w:cs="方正仿宋_GB2312"/>
                <w:kern w:val="0"/>
                <w:sz w:val="24"/>
                <w:szCs w:val="24"/>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14:paraId="58D8E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813" w:type="dxa"/>
            <w:tcBorders>
              <w:top w:val="single" w:color="auto" w:sz="4" w:space="0"/>
              <w:left w:val="single" w:color="auto" w:sz="4" w:space="0"/>
              <w:bottom w:val="single" w:color="auto" w:sz="4" w:space="0"/>
              <w:right w:val="single" w:color="auto" w:sz="4" w:space="0"/>
            </w:tcBorders>
            <w:vAlign w:val="center"/>
          </w:tcPr>
          <w:p w14:paraId="796A905A">
            <w:pPr>
              <w:autoSpaceDE w:val="0"/>
              <w:autoSpaceDN w:val="0"/>
              <w:adjustRightInd w:val="0"/>
              <w:spacing w:line="360" w:lineRule="auto"/>
              <w:jc w:val="left"/>
              <w:rPr>
                <w:rFonts w:ascii="宋体" w:hAnsi="宋体" w:eastAsia="宋体" w:cs="宋体"/>
                <w:kern w:val="0"/>
                <w:sz w:val="18"/>
                <w:szCs w:val="18"/>
              </w:rPr>
            </w:pPr>
            <w:r>
              <w:rPr>
                <w:rStyle w:val="6"/>
                <w:bCs/>
                <w:color w:val="000000"/>
                <w:sz w:val="24"/>
              </w:rPr>
              <w:t>报价方式</w:t>
            </w:r>
          </w:p>
        </w:tc>
        <w:tc>
          <w:tcPr>
            <w:tcW w:w="7396" w:type="dxa"/>
            <w:tcBorders>
              <w:top w:val="single" w:color="auto" w:sz="4" w:space="0"/>
              <w:left w:val="single" w:color="auto" w:sz="4" w:space="0"/>
              <w:bottom w:val="single" w:color="auto" w:sz="4" w:space="0"/>
              <w:right w:val="single" w:color="auto" w:sz="4" w:space="0"/>
            </w:tcBorders>
            <w:vAlign w:val="center"/>
          </w:tcPr>
          <w:p w14:paraId="1271DC62">
            <w:pPr>
              <w:keepNext w:val="0"/>
              <w:keepLines w:val="0"/>
              <w:pageBreakBefore w:val="0"/>
              <w:kinsoku/>
              <w:wordWrap/>
              <w:overflowPunct/>
              <w:topLinePunct w:val="0"/>
              <w:autoSpaceDE w:val="0"/>
              <w:autoSpaceDN w:val="0"/>
              <w:bidi w:val="0"/>
              <w:adjustRightInd w:val="0"/>
              <w:snapToGrid/>
              <w:spacing w:line="340" w:lineRule="exact"/>
              <w:jc w:val="left"/>
              <w:textAlignment w:val="auto"/>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color w:val="000000"/>
                <w:sz w:val="24"/>
                <w:szCs w:val="24"/>
              </w:rPr>
              <w:t>人民币包干报价，含产品、运输、装卸、安装、辅材、调试、保险、检测、税费、售后服务等全部费用</w:t>
            </w:r>
          </w:p>
        </w:tc>
      </w:tr>
      <w:tr w14:paraId="4F4E79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13" w:type="dxa"/>
            <w:tcBorders>
              <w:top w:val="single" w:color="auto" w:sz="4" w:space="0"/>
              <w:left w:val="single" w:color="auto" w:sz="4" w:space="0"/>
              <w:bottom w:val="single" w:color="auto" w:sz="4" w:space="0"/>
              <w:right w:val="single" w:color="auto" w:sz="4" w:space="0"/>
            </w:tcBorders>
            <w:vAlign w:val="center"/>
          </w:tcPr>
          <w:p w14:paraId="551E336B">
            <w:pPr>
              <w:pStyle w:val="3"/>
              <w:widowControl/>
              <w:spacing w:beforeAutospacing="0" w:afterAutospacing="0" w:line="360" w:lineRule="atLeast"/>
              <w:rPr>
                <w:rFonts w:hint="default"/>
                <w:color w:val="000000"/>
                <w:sz w:val="24"/>
                <w:szCs w:val="24"/>
              </w:rPr>
            </w:pPr>
            <w:r>
              <w:rPr>
                <w:color w:val="000000"/>
                <w:sz w:val="24"/>
                <w:szCs w:val="24"/>
              </w:rPr>
              <w:t>售后服务要求</w:t>
            </w:r>
          </w:p>
          <w:p w14:paraId="03C6F976">
            <w:pPr>
              <w:autoSpaceDE w:val="0"/>
              <w:autoSpaceDN w:val="0"/>
              <w:adjustRightInd w:val="0"/>
              <w:spacing w:line="360" w:lineRule="auto"/>
              <w:jc w:val="left"/>
              <w:rPr>
                <w:rFonts w:ascii="宋体" w:hAnsi="宋体" w:eastAsia="宋体" w:cs="宋体"/>
                <w:kern w:val="0"/>
                <w:sz w:val="18"/>
                <w:szCs w:val="18"/>
              </w:rPr>
            </w:pPr>
          </w:p>
        </w:tc>
        <w:tc>
          <w:tcPr>
            <w:tcW w:w="7396" w:type="dxa"/>
            <w:tcBorders>
              <w:top w:val="single" w:color="auto" w:sz="4" w:space="0"/>
              <w:left w:val="single" w:color="auto" w:sz="4" w:space="0"/>
              <w:bottom w:val="single" w:color="auto" w:sz="4" w:space="0"/>
              <w:right w:val="single" w:color="auto" w:sz="4" w:space="0"/>
            </w:tcBorders>
            <w:vAlign w:val="center"/>
          </w:tcPr>
          <w:p w14:paraId="7FA23732">
            <w:pPr>
              <w:keepNext w:val="0"/>
              <w:keepLines w:val="0"/>
              <w:pageBreakBefore w:val="0"/>
              <w:widowControl/>
              <w:numPr>
                <w:ilvl w:val="0"/>
                <w:numId w:val="1"/>
              </w:numPr>
              <w:kinsoku/>
              <w:wordWrap/>
              <w:overflowPunct/>
              <w:topLinePunct w:val="0"/>
              <w:bidi w:val="0"/>
              <w:snapToGrid/>
              <w:spacing w:line="340" w:lineRule="exact"/>
              <w:ind w:left="0"/>
              <w:jc w:val="lef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1、1.故障响应：接到通知在4小时内到达现场处理疏通、清运，保证不影响学校正常使用。</w:t>
            </w:r>
          </w:p>
          <w:p w14:paraId="26153EA4">
            <w:pPr>
              <w:keepNext w:val="0"/>
              <w:keepLines w:val="0"/>
              <w:pageBreakBefore w:val="0"/>
              <w:widowControl/>
              <w:kinsoku/>
              <w:wordWrap/>
              <w:overflowPunct/>
              <w:topLinePunct w:val="0"/>
              <w:bidi w:val="0"/>
              <w:snapToGrid/>
              <w:spacing w:line="340" w:lineRule="exact"/>
              <w:ind w:left="-360"/>
              <w:jc w:val="left"/>
              <w:textAlignment w:val="auto"/>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color w:val="000000"/>
                <w:sz w:val="24"/>
                <w:szCs w:val="24"/>
              </w:rPr>
              <w:t>3 . 3.质保期内：免费上门、免费疏通、免费清运。</w:t>
            </w:r>
          </w:p>
        </w:tc>
      </w:tr>
      <w:tr w14:paraId="36EF3C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13" w:type="dxa"/>
            <w:tcBorders>
              <w:top w:val="single" w:color="auto" w:sz="4" w:space="0"/>
              <w:left w:val="single" w:color="auto" w:sz="4" w:space="0"/>
              <w:bottom w:val="single" w:color="auto" w:sz="4" w:space="0"/>
              <w:right w:val="single" w:color="auto" w:sz="4" w:space="0"/>
            </w:tcBorders>
            <w:vAlign w:val="center"/>
          </w:tcPr>
          <w:p w14:paraId="51A3D51B">
            <w:pPr>
              <w:pStyle w:val="3"/>
              <w:widowControl/>
              <w:spacing w:beforeAutospacing="0" w:afterAutospacing="0" w:line="360" w:lineRule="atLeast"/>
              <w:rPr>
                <w:rFonts w:hint="default"/>
                <w:color w:val="000000"/>
                <w:sz w:val="24"/>
                <w:szCs w:val="24"/>
              </w:rPr>
            </w:pPr>
            <w:r>
              <w:rPr>
                <w:color w:val="000000"/>
                <w:sz w:val="24"/>
                <w:szCs w:val="24"/>
              </w:rPr>
              <w:t>验收要求</w:t>
            </w:r>
          </w:p>
          <w:p w14:paraId="0101EDAB">
            <w:pPr>
              <w:autoSpaceDE w:val="0"/>
              <w:autoSpaceDN w:val="0"/>
              <w:adjustRightInd w:val="0"/>
              <w:spacing w:line="360" w:lineRule="auto"/>
              <w:jc w:val="left"/>
              <w:rPr>
                <w:rFonts w:ascii="宋体" w:hAnsi="宋体" w:eastAsia="宋体" w:cs="宋体"/>
                <w:kern w:val="0"/>
                <w:sz w:val="18"/>
                <w:szCs w:val="18"/>
              </w:rPr>
            </w:pPr>
          </w:p>
        </w:tc>
        <w:tc>
          <w:tcPr>
            <w:tcW w:w="7396" w:type="dxa"/>
            <w:tcBorders>
              <w:top w:val="single" w:color="auto" w:sz="4" w:space="0"/>
              <w:left w:val="single" w:color="auto" w:sz="4" w:space="0"/>
              <w:bottom w:val="single" w:color="auto" w:sz="4" w:space="0"/>
              <w:right w:val="single" w:color="auto" w:sz="4" w:space="0"/>
            </w:tcBorders>
            <w:vAlign w:val="center"/>
          </w:tcPr>
          <w:p w14:paraId="6C00D0DD">
            <w:pPr>
              <w:keepNext w:val="0"/>
              <w:keepLines w:val="0"/>
              <w:pageBreakBefore w:val="0"/>
              <w:widowControl/>
              <w:numPr>
                <w:ilvl w:val="0"/>
                <w:numId w:val="2"/>
              </w:numPr>
              <w:kinsoku/>
              <w:wordWrap/>
              <w:overflowPunct/>
              <w:topLinePunct w:val="0"/>
              <w:bidi w:val="0"/>
              <w:snapToGrid/>
              <w:spacing w:line="340" w:lineRule="exact"/>
              <w:ind w:left="0"/>
              <w:jc w:val="left"/>
              <w:textAlignment w:val="auto"/>
              <w:rPr>
                <w:rFonts w:hint="eastAsia" w:ascii="方正仿宋_GB2312" w:hAnsi="方正仿宋_GB2312" w:eastAsia="方正仿宋_GB2312" w:cs="方正仿宋_GB2312"/>
                <w:kern w:val="0"/>
                <w:sz w:val="24"/>
                <w:szCs w:val="24"/>
              </w:rPr>
            </w:pPr>
            <w:r>
              <w:rPr>
                <w:rStyle w:val="6"/>
                <w:rFonts w:hint="eastAsia" w:ascii="方正仿宋_GB2312" w:hAnsi="方正仿宋_GB2312" w:eastAsia="方正仿宋_GB2312" w:cs="方正仿宋_GB2312"/>
                <w:bCs/>
                <w:color w:val="000000"/>
                <w:sz w:val="24"/>
                <w:szCs w:val="24"/>
              </w:rPr>
              <w:t>验收</w:t>
            </w:r>
            <w:r>
              <w:rPr>
                <w:rFonts w:hint="eastAsia" w:ascii="方正仿宋_GB2312" w:hAnsi="方正仿宋_GB2312" w:eastAsia="方正仿宋_GB2312" w:cs="方正仿宋_GB2312"/>
                <w:color w:val="000000"/>
                <w:sz w:val="24"/>
                <w:szCs w:val="24"/>
              </w:rPr>
              <w:t>：化粪池内的漂浮物不能超过2CM厚</w:t>
            </w:r>
            <w:r>
              <w:rPr>
                <w:rFonts w:hint="eastAsia" w:ascii="方正仿宋_GB2312" w:hAnsi="方正仿宋_GB2312" w:eastAsia="方正仿宋_GB2312" w:cs="方正仿宋_GB2312"/>
                <w:color w:val="000000"/>
                <w:sz w:val="24"/>
                <w:szCs w:val="24"/>
                <w:lang w:eastAsia="zh-CN"/>
              </w:rPr>
              <w:t>。</w:t>
            </w:r>
          </w:p>
        </w:tc>
      </w:tr>
      <w:tr w14:paraId="6FACD5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13" w:type="dxa"/>
            <w:tcBorders>
              <w:top w:val="single" w:color="auto" w:sz="4" w:space="0"/>
              <w:left w:val="single" w:color="auto" w:sz="4" w:space="0"/>
              <w:bottom w:val="single" w:color="auto" w:sz="4" w:space="0"/>
              <w:right w:val="single" w:color="auto" w:sz="4" w:space="0"/>
            </w:tcBorders>
            <w:vAlign w:val="center"/>
          </w:tcPr>
          <w:p w14:paraId="4047774C">
            <w:pPr>
              <w:pStyle w:val="3"/>
              <w:widowControl/>
              <w:spacing w:beforeAutospacing="0" w:afterAutospacing="0" w:line="360" w:lineRule="atLeast"/>
              <w:rPr>
                <w:rFonts w:hint="default"/>
                <w:color w:val="000000"/>
                <w:sz w:val="24"/>
                <w:szCs w:val="24"/>
              </w:rPr>
            </w:pPr>
            <w:r>
              <w:rPr>
                <w:color w:val="000000"/>
                <w:sz w:val="24"/>
                <w:szCs w:val="24"/>
              </w:rPr>
              <w:t>违约责任</w:t>
            </w:r>
          </w:p>
          <w:p w14:paraId="20D729D2">
            <w:pPr>
              <w:autoSpaceDE w:val="0"/>
              <w:autoSpaceDN w:val="0"/>
              <w:adjustRightInd w:val="0"/>
              <w:spacing w:line="360" w:lineRule="auto"/>
              <w:jc w:val="left"/>
              <w:rPr>
                <w:rFonts w:ascii="宋体" w:hAnsi="宋体" w:eastAsia="宋体" w:cs="宋体"/>
                <w:kern w:val="0"/>
                <w:sz w:val="18"/>
                <w:szCs w:val="18"/>
              </w:rPr>
            </w:pPr>
          </w:p>
        </w:tc>
        <w:tc>
          <w:tcPr>
            <w:tcW w:w="7396" w:type="dxa"/>
            <w:tcBorders>
              <w:top w:val="single" w:color="auto" w:sz="4" w:space="0"/>
              <w:left w:val="single" w:color="auto" w:sz="4" w:space="0"/>
              <w:bottom w:val="single" w:color="auto" w:sz="4" w:space="0"/>
              <w:right w:val="single" w:color="auto" w:sz="4" w:space="0"/>
            </w:tcBorders>
            <w:vAlign w:val="center"/>
          </w:tcPr>
          <w:p w14:paraId="51C68920">
            <w:pPr>
              <w:keepNext w:val="0"/>
              <w:keepLines w:val="0"/>
              <w:pageBreakBefore w:val="0"/>
              <w:kinsoku/>
              <w:wordWrap/>
              <w:overflowPunct/>
              <w:topLinePunct w:val="0"/>
              <w:bidi w:val="0"/>
              <w:snapToGrid/>
              <w:spacing w:line="340" w:lineRule="exact"/>
              <w:jc w:val="left"/>
              <w:textAlignment w:val="auto"/>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乙方逾期提供清理服务或未在规定时间内到达甲方现场处理疏通、清理的，</w:t>
            </w:r>
            <w:r>
              <w:rPr>
                <w:rFonts w:hint="eastAsia" w:ascii="方正仿宋_GB2312" w:hAnsi="方正仿宋_GB2312" w:eastAsia="方正仿宋_GB2312" w:cs="方正仿宋_GB2312"/>
                <w:kern w:val="0"/>
                <w:sz w:val="24"/>
                <w:szCs w:val="24"/>
                <w:lang w:val="en-US" w:eastAsia="zh-CN"/>
              </w:rPr>
              <w:t>经甲方两次要求履行（含书面、口头、电话、微信、邮件、短信等方式）而拒不履行的，每逾期一日，应按合同总额3‰向甲方支付违约金，甲方有权从未付的款项中扣除，不足部分由乙方补足</w:t>
            </w:r>
            <w:r>
              <w:rPr>
                <w:rFonts w:hint="eastAsia" w:ascii="方正仿宋_GB2312" w:hAnsi="方正仿宋_GB2312" w:eastAsia="方正仿宋_GB2312" w:cs="方正仿宋_GB2312"/>
                <w:kern w:val="0"/>
                <w:sz w:val="24"/>
                <w:szCs w:val="24"/>
              </w:rPr>
              <w:t>，逾期超过约定的日期17个工作日不能提供服务的，甲方有权解除本合同，并要求乙方支付合同总额20%的违约金</w:t>
            </w:r>
            <w:r>
              <w:rPr>
                <w:rFonts w:hint="eastAsia" w:ascii="方正仿宋_GB2312" w:hAnsi="方正仿宋_GB2312" w:eastAsia="方正仿宋_GB2312" w:cs="方正仿宋_GB2312"/>
                <w:kern w:val="0"/>
                <w:sz w:val="24"/>
                <w:szCs w:val="24"/>
                <w:lang w:eastAsia="zh-CN"/>
              </w:rPr>
              <w:t>，</w:t>
            </w:r>
            <w:r>
              <w:rPr>
                <w:rFonts w:hint="eastAsia" w:ascii="方正仿宋_GB2312" w:hAnsi="方正仿宋_GB2312" w:eastAsia="方正仿宋_GB2312" w:cs="方正仿宋_GB2312"/>
                <w:kern w:val="0"/>
                <w:sz w:val="24"/>
                <w:szCs w:val="24"/>
                <w:lang w:val="en-US" w:eastAsia="zh-CN"/>
              </w:rPr>
              <w:t>本合同约定的损失和违约责任包括但不限于赔偿经济损失、名誉损失、律师费、诉讼费、保全费、鉴定费、公证费、差旅费等</w:t>
            </w:r>
            <w:r>
              <w:rPr>
                <w:rFonts w:hint="eastAsia" w:ascii="方正仿宋_GB2312" w:hAnsi="方正仿宋_GB2312" w:eastAsia="方正仿宋_GB2312" w:cs="方正仿宋_GB2312"/>
                <w:kern w:val="0"/>
                <w:sz w:val="24"/>
                <w:szCs w:val="24"/>
              </w:rPr>
              <w:t>。</w:t>
            </w:r>
          </w:p>
        </w:tc>
      </w:tr>
    </w:tbl>
    <w:p w14:paraId="4F8F78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F97C354-8903-4006-B6A6-C8ACAE6D7FD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BBD073A3-0C6B-42BB-80EE-01796CF86D5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BAF8C"/>
    <w:multiLevelType w:val="multilevel"/>
    <w:tmpl w:val="B31BAF8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3E976A70"/>
    <w:multiLevelType w:val="multilevel"/>
    <w:tmpl w:val="3E976A7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B644B"/>
    <w:rsid w:val="7FEB6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 w:type="paragraph" w:styleId="7">
    <w:name w:val="List Paragraph"/>
    <w:basedOn w:val="1"/>
    <w:unhideWhenUsed/>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78</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2026-05-29T07:50:00Z</dcterms:created>
  <dc:creator>文军</dc:creator>
  <cp:lastModifiedBy>文军</cp:lastModifiedBy>
  <dcterms:modified xsi:type="dcterms:W3CDTF">2026-05-29T09:16:42Z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16C5930BD1084043B4A7ED961ED0B43E_11</vt:lpwstr>
  </property>
  <property fmtid="{D5CDD505-2E9C-101B-9397-08002B2CF9AE}" pid="4" name="KSOTemplateDocerSaveRecord">
    <vt:lpwstr>eyJoZGlkIjoiZGY3NDY0ODlmOWYyYjI3YTFjYmRmOTg5OWUyNTNkYWUiLCJ1c2VySWQiOiIyNDYwODA3NDUifQ==</vt:lpwstr>
  </property>
</Properties>
</file>