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2A9FD">
      <w:pPr>
        <w:spacing w:line="400" w:lineRule="exact"/>
        <w:jc w:val="left"/>
        <w:rPr>
          <w:rFonts w:ascii="宋体" w:hAnsi="宋体"/>
          <w:b/>
          <w:sz w:val="28"/>
          <w:szCs w:val="28"/>
        </w:rPr>
      </w:pPr>
      <w:r>
        <w:rPr>
          <w:rFonts w:hint="eastAsia" w:ascii="宋体" w:hAnsi="宋体"/>
          <w:b/>
          <w:sz w:val="28"/>
          <w:szCs w:val="28"/>
        </w:rPr>
        <w:t>附件1              服务采购需求及响应报价表</w:t>
      </w:r>
    </w:p>
    <w:p w14:paraId="32AC8DDA">
      <w:pPr>
        <w:spacing w:line="400" w:lineRule="exact"/>
        <w:rPr>
          <w:rFonts w:ascii="宋体" w:hAnsi="宋体" w:eastAsia="宋体" w:cs="Times New Roman"/>
          <w:b/>
          <w:sz w:val="24"/>
          <w:szCs w:val="24"/>
        </w:rPr>
      </w:pPr>
    </w:p>
    <w:p w14:paraId="500AFEA1">
      <w:pPr>
        <w:spacing w:line="360" w:lineRule="atLeast"/>
        <w:ind w:right="380"/>
        <w:rPr>
          <w:rFonts w:ascii="宋体" w:hAnsi="宋体" w:eastAsia="宋体" w:cs="Times New Roman"/>
          <w:b/>
          <w:bCs/>
          <w:sz w:val="24"/>
          <w:szCs w:val="24"/>
        </w:rPr>
      </w:pPr>
      <w:r>
        <w:rPr>
          <w:rFonts w:hint="eastAsia" w:ascii="宋体" w:hAnsi="宋体" w:eastAsia="宋体" w:cs="Times New Roman"/>
          <w:b/>
          <w:bCs/>
          <w:sz w:val="24"/>
          <w:szCs w:val="24"/>
        </w:rPr>
        <w:t>项目名称：</w:t>
      </w:r>
      <w:bookmarkStart w:id="0" w:name="OLE_LINK2"/>
      <w:r>
        <w:rPr>
          <w:rFonts w:hint="eastAsia" w:ascii="宋体" w:hAnsi="宋体" w:eastAsia="宋体" w:cs="Times New Roman"/>
          <w:b/>
          <w:bCs/>
          <w:sz w:val="24"/>
          <w:szCs w:val="24"/>
        </w:rPr>
        <w:t>重点实验室专用仪器申购</w:t>
      </w:r>
    </w:p>
    <w:p w14:paraId="5947A09B">
      <w:pPr>
        <w:spacing w:line="360" w:lineRule="atLeast"/>
        <w:ind w:right="380"/>
        <w:rPr>
          <w:rFonts w:ascii="宋体" w:hAnsi="宋体" w:eastAsia="宋体" w:cs="Times New Roman"/>
          <w:b/>
          <w:bCs/>
          <w:sz w:val="24"/>
          <w:szCs w:val="24"/>
        </w:rPr>
      </w:pPr>
      <w:r>
        <w:rPr>
          <w:rFonts w:hint="eastAsia" w:ascii="宋体" w:hAnsi="宋体" w:eastAsia="宋体" w:cs="Times New Roman"/>
          <w:b/>
          <w:bCs/>
          <w:sz w:val="24"/>
          <w:szCs w:val="24"/>
        </w:rPr>
        <w:t xml:space="preserve">项目编号: </w:t>
      </w:r>
      <w:r>
        <w:rPr>
          <w:rFonts w:hint="eastAsia" w:ascii="Times New Roman" w:hAnsi="Times New Roman" w:eastAsia="仿宋_GB2312"/>
        </w:rPr>
        <w:t>GUCM-2025-XJ-003-XM</w:t>
      </w:r>
    </w:p>
    <w:bookmarkEnd w:id="0"/>
    <w:p w14:paraId="0CA86A2E">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1089726">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044BC910">
      <w:pPr>
        <w:spacing w:line="400" w:lineRule="exact"/>
        <w:rPr>
          <w:rFonts w:hint="eastAsia" w:ascii="宋体" w:hAnsi="宋体" w:cs="Times New Roman" w:eastAsiaTheme="minorEastAsia"/>
          <w:b/>
          <w:bCs/>
          <w:szCs w:val="21"/>
          <w:lang w:val="en-US" w:eastAsia="zh-CN"/>
        </w:rPr>
      </w:pPr>
      <w:r>
        <w:rPr>
          <w:rFonts w:hint="eastAsia"/>
        </w:rPr>
        <w:t>本章中带</w:t>
      </w:r>
      <w:r>
        <w:rPr>
          <w:rFonts w:hint="eastAsia" w:ascii="宋体" w:hAnsi="宋体" w:eastAsia="宋体" w:cs="宋体"/>
        </w:rPr>
        <w:t>▲</w:t>
      </w:r>
      <w:r>
        <w:rPr>
          <w:rFonts w:hint="eastAsia"/>
        </w:rPr>
        <w:t>号条款为实质性内容要求，投标时必须满足</w:t>
      </w:r>
      <w:r>
        <w:rPr>
          <w:rFonts w:hint="eastAsia"/>
          <w:lang w:eastAsia="zh-CN"/>
        </w:rPr>
        <w:t>，</w:t>
      </w:r>
      <w:r>
        <w:rPr>
          <w:rFonts w:hint="eastAsia"/>
        </w:rPr>
        <w:t>非实质性条款负偏离允许</w:t>
      </w:r>
      <w:r>
        <w:rPr>
          <w:rFonts w:hint="eastAsia"/>
          <w:lang w:val="en-US" w:eastAsia="zh-CN"/>
        </w:rPr>
        <w:t>1</w:t>
      </w:r>
      <w:r>
        <w:rPr>
          <w:rFonts w:hint="eastAsia"/>
        </w:rPr>
        <w:t>项</w:t>
      </w:r>
      <w:r>
        <w:rPr>
          <w:rFonts w:hint="eastAsia"/>
          <w:lang w:eastAsia="zh-CN"/>
        </w:rPr>
        <w:t>。</w:t>
      </w:r>
    </w:p>
    <w:tbl>
      <w:tblPr>
        <w:tblStyle w:val="9"/>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4"/>
        <w:gridCol w:w="239"/>
        <w:gridCol w:w="927"/>
        <w:gridCol w:w="798"/>
        <w:gridCol w:w="1665"/>
        <w:gridCol w:w="140"/>
        <w:gridCol w:w="828"/>
        <w:gridCol w:w="982"/>
        <w:gridCol w:w="1388"/>
        <w:gridCol w:w="1363"/>
      </w:tblGrid>
      <w:tr w14:paraId="6FC111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5000" w:type="pct"/>
            <w:gridSpan w:val="10"/>
            <w:tcBorders>
              <w:top w:val="single" w:color="auto" w:sz="4" w:space="0"/>
              <w:left w:val="single" w:color="auto" w:sz="4" w:space="0"/>
              <w:bottom w:val="single" w:color="auto" w:sz="4" w:space="0"/>
              <w:right w:val="single" w:color="auto" w:sz="4" w:space="0"/>
            </w:tcBorders>
            <w:vAlign w:val="center"/>
          </w:tcPr>
          <w:p w14:paraId="5A0269D7">
            <w:pPr>
              <w:spacing w:line="360" w:lineRule="auto"/>
              <w:jc w:val="left"/>
              <w:rPr>
                <w:rFonts w:hint="eastAsia" w:ascii="宋体" w:hAnsi="宋体" w:eastAsia="宋体" w:cs="Times New Roman"/>
                <w:b/>
                <w:szCs w:val="21"/>
              </w:rPr>
            </w:pPr>
            <w:r>
              <w:rPr>
                <w:rFonts w:hint="eastAsia" w:ascii="宋体" w:hAnsi="宋体" w:eastAsia="宋体" w:cs="Times New Roman"/>
                <w:b/>
                <w:szCs w:val="21"/>
              </w:rPr>
              <w:t>一、采购需求</w:t>
            </w:r>
          </w:p>
        </w:tc>
      </w:tr>
      <w:tr w14:paraId="149B1A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4B905499">
            <w:pP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528" w:type="pct"/>
            <w:tcBorders>
              <w:top w:val="single" w:color="auto" w:sz="4" w:space="0"/>
              <w:left w:val="single" w:color="auto" w:sz="4" w:space="0"/>
              <w:bottom w:val="single" w:color="auto" w:sz="4" w:space="0"/>
              <w:right w:val="single" w:color="auto" w:sz="4" w:space="0"/>
            </w:tcBorders>
            <w:vAlign w:val="center"/>
          </w:tcPr>
          <w:p w14:paraId="6C2E2559">
            <w:pPr>
              <w:spacing w:line="360" w:lineRule="auto"/>
              <w:jc w:val="center"/>
              <w:rPr>
                <w:rFonts w:hint="eastAsia" w:ascii="宋体" w:hAnsi="宋体" w:eastAsia="宋体" w:cs="宋体"/>
                <w:b/>
                <w:sz w:val="20"/>
                <w:szCs w:val="20"/>
              </w:rPr>
            </w:pPr>
            <w:r>
              <w:rPr>
                <w:rFonts w:hint="eastAsia" w:ascii="宋体" w:hAnsi="宋体" w:eastAsia="宋体" w:cs="宋体"/>
                <w:b/>
                <w:sz w:val="20"/>
                <w:szCs w:val="20"/>
              </w:rPr>
              <w:t>采购项目名称</w:t>
            </w:r>
          </w:p>
        </w:tc>
        <w:tc>
          <w:tcPr>
            <w:tcW w:w="455" w:type="pct"/>
            <w:tcBorders>
              <w:top w:val="single" w:color="auto" w:sz="4" w:space="0"/>
              <w:left w:val="single" w:color="auto" w:sz="4" w:space="0"/>
              <w:bottom w:val="single" w:color="auto" w:sz="4" w:space="0"/>
              <w:right w:val="single" w:color="auto" w:sz="4" w:space="0"/>
            </w:tcBorders>
            <w:vAlign w:val="center"/>
          </w:tcPr>
          <w:p w14:paraId="20DDA663">
            <w:pPr>
              <w:spacing w:line="360" w:lineRule="auto"/>
              <w:jc w:val="center"/>
              <w:rPr>
                <w:rFonts w:hint="eastAsia" w:ascii="宋体" w:hAnsi="宋体" w:eastAsia="宋体" w:cs="宋体"/>
                <w:b/>
                <w:sz w:val="20"/>
                <w:szCs w:val="20"/>
              </w:rPr>
            </w:pPr>
            <w:r>
              <w:rPr>
                <w:rFonts w:hint="eastAsia" w:ascii="宋体" w:hAnsi="宋体" w:eastAsia="宋体" w:cs="宋体"/>
                <w:b/>
                <w:sz w:val="20"/>
                <w:szCs w:val="20"/>
              </w:rPr>
              <w:t>数量单位</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35529C9C">
            <w:pPr>
              <w:keepNext w:val="0"/>
              <w:keepLines w:val="0"/>
              <w:pageBreakBefore w:val="0"/>
              <w:widowControl w:val="0"/>
              <w:kinsoku/>
              <w:wordWrap/>
              <w:overflowPunct/>
              <w:topLinePunct w:val="0"/>
              <w:bidi w:val="0"/>
              <w:adjustRightInd/>
              <w:snapToGrid w:val="0"/>
              <w:jc w:val="left"/>
              <w:textAlignment w:val="auto"/>
              <w:rPr>
                <w:rFonts w:hint="eastAsia" w:ascii="宋体" w:hAnsi="宋体" w:eastAsia="宋体" w:cs="宋体"/>
                <w:b/>
                <w:sz w:val="20"/>
                <w:szCs w:val="20"/>
              </w:rPr>
            </w:pPr>
            <w:r>
              <w:rPr>
                <w:rFonts w:hint="eastAsia" w:ascii="宋体" w:hAnsi="宋体" w:eastAsia="宋体" w:cs="宋体"/>
                <w:b/>
                <w:bCs/>
                <w:color w:val="000000"/>
                <w:sz w:val="18"/>
                <w:szCs w:val="18"/>
              </w:rPr>
              <w:t>品牌型号、生产厂家</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7D5B17B8">
            <w:pP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采购需求</w:t>
            </w:r>
          </w:p>
        </w:tc>
      </w:tr>
      <w:tr w14:paraId="65A544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5BF18A4D">
            <w:pPr>
              <w:jc w:val="center"/>
              <w:rPr>
                <w:rFonts w:hint="eastAsia" w:ascii="仿宋" w:hAnsi="仿宋" w:eastAsia="仿宋" w:cs="仿宋"/>
                <w:b/>
                <w:sz w:val="22"/>
                <w:szCs w:val="22"/>
              </w:rPr>
            </w:pPr>
            <w:r>
              <w:rPr>
                <w:rFonts w:hint="eastAsia" w:ascii="仿宋" w:hAnsi="仿宋" w:eastAsia="仿宋" w:cs="仿宋"/>
                <w:kern w:val="0"/>
                <w:sz w:val="22"/>
                <w:szCs w:val="22"/>
              </w:rPr>
              <w:t>1</w:t>
            </w:r>
          </w:p>
        </w:tc>
        <w:tc>
          <w:tcPr>
            <w:tcW w:w="528" w:type="pct"/>
            <w:tcBorders>
              <w:top w:val="single" w:color="auto" w:sz="4" w:space="0"/>
              <w:left w:val="single" w:color="auto" w:sz="4" w:space="0"/>
              <w:bottom w:val="single" w:color="auto" w:sz="4" w:space="0"/>
              <w:right w:val="single" w:color="auto" w:sz="4" w:space="0"/>
            </w:tcBorders>
            <w:vAlign w:val="center"/>
          </w:tcPr>
          <w:p w14:paraId="7D4B7FB1">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涡旋混匀仪</w:t>
            </w:r>
          </w:p>
        </w:tc>
        <w:tc>
          <w:tcPr>
            <w:tcW w:w="455" w:type="pct"/>
            <w:tcBorders>
              <w:top w:val="single" w:color="auto" w:sz="4" w:space="0"/>
              <w:left w:val="single" w:color="auto" w:sz="4" w:space="0"/>
              <w:bottom w:val="single" w:color="auto" w:sz="4" w:space="0"/>
              <w:right w:val="single" w:color="auto" w:sz="4" w:space="0"/>
            </w:tcBorders>
            <w:vAlign w:val="center"/>
          </w:tcPr>
          <w:p w14:paraId="07578893">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3台</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3958885A">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四亿/</w:t>
            </w:r>
            <w:r>
              <w:rPr>
                <w:rFonts w:hint="eastAsia" w:ascii="仿宋" w:hAnsi="仿宋" w:eastAsia="仿宋" w:cs="仿宋"/>
              </w:rPr>
              <w:t xml:space="preserve"> </w:t>
            </w:r>
            <w:r>
              <w:rPr>
                <w:rFonts w:hint="eastAsia" w:ascii="仿宋" w:hAnsi="仿宋" w:eastAsia="仿宋" w:cs="仿宋"/>
                <w:kern w:val="0"/>
                <w:szCs w:val="21"/>
              </w:rPr>
              <w:t>CubicB</w:t>
            </w:r>
            <w:r>
              <w:rPr>
                <w:rFonts w:hint="eastAsia" w:ascii="仿宋" w:hAnsi="仿宋" w:eastAsia="仿宋" w:cs="仿宋"/>
                <w:kern w:val="0"/>
                <w:szCs w:val="21"/>
                <w:lang w:eastAsia="zh-CN"/>
              </w:rPr>
              <w:t>、</w:t>
            </w:r>
            <w:r>
              <w:rPr>
                <w:rFonts w:hint="eastAsia" w:ascii="仿宋" w:hAnsi="仿宋" w:eastAsia="仿宋" w:cs="仿宋"/>
                <w:kern w:val="0"/>
                <w:szCs w:val="21"/>
              </w:rPr>
              <w:t>其林贝尔/vortex 5</w:t>
            </w:r>
            <w:r>
              <w:rPr>
                <w:rFonts w:hint="eastAsia" w:ascii="仿宋" w:hAnsi="仿宋" w:eastAsia="仿宋" w:cs="仿宋"/>
                <w:kern w:val="0"/>
                <w:szCs w:val="21"/>
                <w:lang w:eastAsia="zh-CN"/>
              </w:rPr>
              <w:t>、</w:t>
            </w:r>
            <w:r>
              <w:rPr>
                <w:rFonts w:hint="eastAsia" w:ascii="仿宋" w:hAnsi="仿宋" w:eastAsia="仿宋" w:cs="仿宋"/>
                <w:kern w:val="0"/>
                <w:szCs w:val="21"/>
              </w:rPr>
              <w:t>碧云天/BeyoVortex</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72A413B7">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1.操作模式：连续/点动操作</w:t>
            </w:r>
          </w:p>
          <w:p w14:paraId="1C0349FE">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2.振荡方式：圆周</w:t>
            </w:r>
          </w:p>
          <w:p w14:paraId="7A9E2E16">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3.▲轨道直径：6毫米</w:t>
            </w:r>
          </w:p>
          <w:p w14:paraId="66D54107">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4.▲速度范围：0-3000转/分</w:t>
            </w:r>
          </w:p>
          <w:p w14:paraId="3D6B368B">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5.速度显示：刻度</w:t>
            </w:r>
          </w:p>
          <w:p w14:paraId="69B955E8">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6.无刷电机和坚固的铁/铝铸件底座</w:t>
            </w:r>
          </w:p>
          <w:p w14:paraId="41FBA083">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7.低工作电压（12V），全面保护</w:t>
            </w:r>
          </w:p>
          <w:p w14:paraId="0499711A">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8.完美的动平衡设计，可消除混匀时的晃动</w:t>
            </w:r>
          </w:p>
          <w:p w14:paraId="28BA5FA0">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9.具有不同可互换配件，满足各种应用</w:t>
            </w:r>
          </w:p>
          <w:p w14:paraId="67C11BDE">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10.电源通过 CE、cULus、CCC、SAA 和 FCC 认证</w:t>
            </w:r>
          </w:p>
          <w:p w14:paraId="4BD359F9">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11.允许的环境温度：5-40℃</w:t>
            </w:r>
          </w:p>
          <w:p w14:paraId="0E8D31A6">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12.允许相对湿度：80%RH：</w:t>
            </w:r>
          </w:p>
          <w:p w14:paraId="2F40D024">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13.防护等级符合 DIN EN 60529：IP21</w:t>
            </w:r>
          </w:p>
          <w:p w14:paraId="7C844B6E">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14.电压：100-240VAC</w:t>
            </w:r>
          </w:p>
          <w:p w14:paraId="31A937BD">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15.功率：36w</w:t>
            </w:r>
          </w:p>
          <w:p w14:paraId="096F65D0">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16.频率：50/60Hz</w:t>
            </w:r>
          </w:p>
          <w:p w14:paraId="4476E88F">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17.尺寸（宽 x 高 x 深）：107x146x166mm</w:t>
            </w:r>
          </w:p>
          <w:p w14:paraId="725EF4BE">
            <w:pPr>
              <w:adjustRightInd w:val="0"/>
              <w:snapToGrid w:val="0"/>
              <w:spacing w:line="360" w:lineRule="exact"/>
              <w:ind w:left="11" w:leftChars="0" w:hanging="11" w:hangingChars="5"/>
              <w:rPr>
                <w:rFonts w:hint="eastAsia" w:ascii="仿宋" w:hAnsi="仿宋" w:eastAsia="仿宋" w:cs="仿宋"/>
                <w:sz w:val="22"/>
                <w:szCs w:val="22"/>
              </w:rPr>
            </w:pPr>
            <w:r>
              <w:rPr>
                <w:rFonts w:hint="eastAsia" w:ascii="仿宋" w:hAnsi="仿宋" w:eastAsia="仿宋" w:cs="仿宋"/>
                <w:sz w:val="22"/>
                <w:szCs w:val="22"/>
              </w:rPr>
              <w:t>18.重量：3kg</w:t>
            </w:r>
          </w:p>
        </w:tc>
      </w:tr>
      <w:tr w14:paraId="25E51F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6C92439D">
            <w:pPr>
              <w:jc w:val="center"/>
              <w:rPr>
                <w:rFonts w:hint="eastAsia" w:ascii="仿宋" w:hAnsi="仿宋" w:eastAsia="仿宋" w:cs="仿宋"/>
                <w:b/>
                <w:bCs/>
                <w:sz w:val="22"/>
                <w:szCs w:val="22"/>
              </w:rPr>
            </w:pPr>
            <w:r>
              <w:rPr>
                <w:rFonts w:hint="eastAsia" w:ascii="仿宋" w:hAnsi="仿宋" w:eastAsia="仿宋" w:cs="仿宋"/>
                <w:kern w:val="0"/>
                <w:sz w:val="22"/>
                <w:szCs w:val="22"/>
                <w:lang w:val="en-US" w:eastAsia="zh-CN"/>
              </w:rPr>
              <w:t>2</w:t>
            </w:r>
          </w:p>
        </w:tc>
        <w:tc>
          <w:tcPr>
            <w:tcW w:w="528" w:type="pct"/>
            <w:tcBorders>
              <w:top w:val="single" w:color="auto" w:sz="4" w:space="0"/>
              <w:left w:val="single" w:color="auto" w:sz="4" w:space="0"/>
              <w:bottom w:val="single" w:color="auto" w:sz="4" w:space="0"/>
              <w:right w:val="single" w:color="auto" w:sz="4" w:space="0"/>
            </w:tcBorders>
            <w:vAlign w:val="center"/>
          </w:tcPr>
          <w:p w14:paraId="7CC76022">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掌上离心机</w:t>
            </w:r>
          </w:p>
        </w:tc>
        <w:tc>
          <w:tcPr>
            <w:tcW w:w="455" w:type="pct"/>
            <w:tcBorders>
              <w:top w:val="single" w:color="auto" w:sz="4" w:space="0"/>
              <w:left w:val="single" w:color="auto" w:sz="4" w:space="0"/>
              <w:bottom w:val="single" w:color="auto" w:sz="4" w:space="0"/>
              <w:right w:val="single" w:color="auto" w:sz="4" w:space="0"/>
            </w:tcBorders>
            <w:vAlign w:val="center"/>
          </w:tcPr>
          <w:p w14:paraId="00C71314">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3台</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3A2EE7BA">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四亿/</w:t>
            </w:r>
            <w:r>
              <w:rPr>
                <w:rFonts w:hint="eastAsia" w:ascii="仿宋" w:hAnsi="仿宋" w:eastAsia="仿宋" w:cs="仿宋"/>
              </w:rPr>
              <w:t xml:space="preserve"> </w:t>
            </w:r>
            <w:r>
              <w:rPr>
                <w:rFonts w:hint="eastAsia" w:ascii="仿宋" w:hAnsi="仿宋" w:eastAsia="仿宋" w:cs="仿宋"/>
                <w:kern w:val="0"/>
                <w:szCs w:val="21"/>
              </w:rPr>
              <w:t>ETmini</w:t>
            </w:r>
            <w:r>
              <w:rPr>
                <w:rFonts w:hint="eastAsia" w:ascii="仿宋" w:hAnsi="仿宋" w:eastAsia="仿宋" w:cs="仿宋"/>
                <w:kern w:val="0"/>
                <w:szCs w:val="21"/>
                <w:lang w:eastAsia="zh-CN"/>
              </w:rPr>
              <w:t>、</w:t>
            </w:r>
          </w:p>
          <w:p w14:paraId="50BC51B0">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赛维尔/MC5000</w:t>
            </w:r>
            <w:r>
              <w:rPr>
                <w:rFonts w:hint="eastAsia" w:ascii="仿宋" w:hAnsi="仿宋" w:eastAsia="仿宋" w:cs="仿宋"/>
                <w:kern w:val="0"/>
                <w:szCs w:val="21"/>
                <w:lang w:eastAsia="zh-CN"/>
              </w:rPr>
              <w:t>、</w:t>
            </w:r>
          </w:p>
          <w:p w14:paraId="7F5976F8">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碧云天/BeyoFuge</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11CFA5B6">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 转子承载量：0.2/0.5/1.5/2.0mL 离心管x 6，0.2mL PCR管 x 16，0.2mL PCR 8联管 x 2</w:t>
            </w:r>
          </w:p>
          <w:p w14:paraId="042CC902">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2.▲最高转速[rpm]：5400</w:t>
            </w:r>
          </w:p>
          <w:p w14:paraId="59B7B448">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3. 最大相对离心力[xg]：2000</w:t>
            </w:r>
          </w:p>
          <w:p w14:paraId="7B2ACD99">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4. 运行模式：连续运行</w:t>
            </w:r>
          </w:p>
          <w:p w14:paraId="76C32603">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5. 驱动电机：直流电机</w:t>
            </w:r>
          </w:p>
          <w:p w14:paraId="60C582D3">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6. 低噪音运行：≤50分贝</w:t>
            </w:r>
          </w:p>
          <w:p w14:paraId="79154FC9">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7. 低工作电压和开门制动系统，安全性高</w:t>
            </w:r>
          </w:p>
          <w:p w14:paraId="5A35A73F">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8. 封闭式设计降低了液体溅入设备的风险</w:t>
            </w:r>
          </w:p>
          <w:p w14:paraId="7293001A">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9. ▲优异的动平衡，即使转子两侧不平衡也能保持稳定运行</w:t>
            </w:r>
          </w:p>
          <w:p w14:paraId="65B2C649">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10.▲卡入式设计无需工具即可轻松更换转子</w:t>
            </w:r>
          </w:p>
          <w:p w14:paraId="7B1510CE">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 配备2个转子及适配器</w:t>
            </w:r>
          </w:p>
          <w:p w14:paraId="06AE4DE8">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12. 输入：100-240VAC，50/60HZ</w:t>
            </w:r>
          </w:p>
          <w:p w14:paraId="2FAA5808">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13. 输出：24VDC, 2A</w:t>
            </w:r>
          </w:p>
          <w:p w14:paraId="2ECCD9B6">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14. 尺寸：6.9”x 5.5”</w:t>
            </w:r>
          </w:p>
          <w:p w14:paraId="318A3D71">
            <w:pPr>
              <w:adjustRightInd w:val="0"/>
              <w:snapToGrid w:val="0"/>
              <w:spacing w:line="360" w:lineRule="exact"/>
              <w:ind w:left="10" w:hanging="11" w:hangingChars="5"/>
              <w:rPr>
                <w:rFonts w:hint="eastAsia" w:ascii="仿宋" w:hAnsi="仿宋" w:eastAsia="仿宋" w:cs="仿宋"/>
                <w:color w:val="000000"/>
                <w:kern w:val="0"/>
                <w:sz w:val="22"/>
                <w:szCs w:val="22"/>
                <w:lang w:bidi="ar"/>
              </w:rPr>
            </w:pPr>
            <w:r>
              <w:rPr>
                <w:rFonts w:hint="eastAsia" w:ascii="仿宋" w:hAnsi="仿宋" w:eastAsia="仿宋" w:cs="仿宋"/>
                <w:sz w:val="22"/>
                <w:szCs w:val="22"/>
              </w:rPr>
              <w:t>15. 重量：1.85kg</w:t>
            </w:r>
          </w:p>
        </w:tc>
      </w:tr>
      <w:tr w14:paraId="42B4BD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526D581B">
            <w:pPr>
              <w:jc w:val="center"/>
              <w:rPr>
                <w:rFonts w:hint="eastAsia" w:ascii="仿宋" w:hAnsi="仿宋" w:eastAsia="仿宋" w:cs="仿宋"/>
                <w:b/>
                <w:bCs/>
                <w:sz w:val="22"/>
                <w:szCs w:val="22"/>
              </w:rPr>
            </w:pPr>
            <w:r>
              <w:rPr>
                <w:rFonts w:hint="eastAsia" w:ascii="仿宋" w:hAnsi="仿宋" w:eastAsia="仿宋" w:cs="仿宋"/>
                <w:kern w:val="0"/>
                <w:sz w:val="22"/>
                <w:szCs w:val="22"/>
                <w:lang w:val="en-US" w:eastAsia="zh-CN"/>
              </w:rPr>
              <w:t>3</w:t>
            </w:r>
          </w:p>
        </w:tc>
        <w:tc>
          <w:tcPr>
            <w:tcW w:w="528" w:type="pct"/>
            <w:tcBorders>
              <w:top w:val="single" w:color="auto" w:sz="4" w:space="0"/>
              <w:left w:val="single" w:color="auto" w:sz="4" w:space="0"/>
              <w:bottom w:val="single" w:color="auto" w:sz="4" w:space="0"/>
              <w:right w:val="single" w:color="auto" w:sz="4" w:space="0"/>
            </w:tcBorders>
            <w:vAlign w:val="center"/>
          </w:tcPr>
          <w:p w14:paraId="48E925E8">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电动移液器</w:t>
            </w:r>
          </w:p>
        </w:tc>
        <w:tc>
          <w:tcPr>
            <w:tcW w:w="455" w:type="pct"/>
            <w:tcBorders>
              <w:top w:val="single" w:color="auto" w:sz="4" w:space="0"/>
              <w:left w:val="single" w:color="auto" w:sz="4" w:space="0"/>
              <w:bottom w:val="single" w:color="auto" w:sz="4" w:space="0"/>
              <w:right w:val="single" w:color="auto" w:sz="4" w:space="0"/>
            </w:tcBorders>
            <w:vAlign w:val="center"/>
          </w:tcPr>
          <w:p w14:paraId="6147478C">
            <w:pPr>
              <w:keepNext w:val="0"/>
              <w:keepLines w:val="0"/>
              <w:widowControl/>
              <w:suppressLineNumbers w:val="0"/>
              <w:jc w:val="center"/>
              <w:textAlignment w:val="center"/>
              <w:rPr>
                <w:rFonts w:hint="default" w:ascii="仿宋" w:hAnsi="仿宋" w:eastAsia="仿宋" w:cs="仿宋"/>
                <w:sz w:val="22"/>
                <w:szCs w:val="22"/>
                <w:lang w:val="en-US"/>
              </w:rPr>
            </w:pPr>
            <w:r>
              <w:rPr>
                <w:rFonts w:hint="eastAsia" w:ascii="仿宋" w:hAnsi="仿宋" w:eastAsia="仿宋" w:cs="仿宋"/>
                <w:i w:val="0"/>
                <w:iCs w:val="0"/>
                <w:color w:val="000000"/>
                <w:kern w:val="0"/>
                <w:sz w:val="22"/>
                <w:szCs w:val="22"/>
                <w:u w:val="none"/>
                <w:lang w:val="en-US" w:eastAsia="zh-CN" w:bidi="ar"/>
              </w:rPr>
              <w:t xml:space="preserve">3支  </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2A978B4C">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Eppendorf/Xplorer</w:t>
            </w:r>
            <w:r>
              <w:rPr>
                <w:rFonts w:hint="eastAsia" w:ascii="仿宋" w:hAnsi="仿宋" w:eastAsia="仿宋" w:cs="仿宋"/>
                <w:kern w:val="0"/>
                <w:szCs w:val="21"/>
                <w:lang w:eastAsia="zh-CN"/>
              </w:rPr>
              <w:t>、</w:t>
            </w:r>
            <w:r>
              <w:rPr>
                <w:rFonts w:hint="eastAsia" w:ascii="仿宋" w:hAnsi="仿宋" w:eastAsia="仿宋" w:cs="仿宋"/>
                <w:kern w:val="0"/>
                <w:szCs w:val="21"/>
              </w:rPr>
              <w:t xml:space="preserve">赛多利斯/Picus® 2 </w:t>
            </w:r>
            <w:r>
              <w:rPr>
                <w:rFonts w:hint="eastAsia" w:ascii="仿宋" w:hAnsi="仿宋" w:eastAsia="仿宋" w:cs="仿宋"/>
                <w:kern w:val="0"/>
                <w:szCs w:val="21"/>
                <w:lang w:eastAsia="zh-CN"/>
              </w:rPr>
              <w:t>、</w:t>
            </w:r>
            <w:r>
              <w:rPr>
                <w:rFonts w:hint="eastAsia" w:ascii="仿宋" w:hAnsi="仿宋" w:eastAsia="仿宋" w:cs="仿宋"/>
                <w:kern w:val="0"/>
                <w:szCs w:val="21"/>
              </w:rPr>
              <w:t>Rainin/E4 XLS+</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0070C0E3">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1.功能特点</w:t>
            </w:r>
          </w:p>
          <w:p w14:paraId="0B428405">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1.1.功能在选项盘上，操作方便，一目了然，功能模式可直接通过选项盘选择</w:t>
            </w:r>
          </w:p>
          <w:p w14:paraId="196B1A4C">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1.2.彩色液晶屏显示，可用9种语言（含中文）快速而简便地编程</w:t>
            </w:r>
          </w:p>
          <w:p w14:paraId="6AB9C107">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1.3.创新导杆设计，操作运动方向与活塞运动方向一致，用户可完全掌控活塞的运动</w:t>
            </w:r>
          </w:p>
          <w:p w14:paraId="1AF772A7">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1.4.弹性吸嘴功能，安装和脱卸吸头用力小，移液重复性高</w:t>
            </w:r>
          </w:p>
          <w:p w14:paraId="5321B8AE">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1.5.下半支可徒手拆卸，维护方便简单，整个下半支可高温高压灭菌</w:t>
            </w:r>
          </w:p>
          <w:p w14:paraId="0DD232CF">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1.6.具备用户调节功能，可根据实际情况调整移液器，如海拔高度、液体属性等，使移液更精准</w:t>
            </w:r>
          </w:p>
          <w:p w14:paraId="59A62EA3">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1.7.人性化设计参数选项，如体积限量等，使移液更安全</w:t>
            </w:r>
          </w:p>
          <w:p w14:paraId="6ABFE213">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1.8.人体工程学设计，重量轻（约158g），平衡性好</w:t>
            </w:r>
          </w:p>
          <w:p w14:paraId="0B99A358">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1.9.锂聚合物电池，充电时间短，工作时间长，一次充电可至少加样100块96孔板；灵活的充电选择，可通过充电器或在充电支架上充电</w:t>
            </w:r>
          </w:p>
          <w:p w14:paraId="52CA42E8">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1.10.可与移液管理系统组合使用，进行无线数据交换，从而实现液体管理、移液过程记录、移液群组管理等功能。</w:t>
            </w:r>
          </w:p>
          <w:p w14:paraId="72D2803C">
            <w:pPr>
              <w:adjustRightInd w:val="0"/>
              <w:snapToGrid w:val="0"/>
              <w:spacing w:line="360" w:lineRule="exact"/>
              <w:ind w:left="11" w:leftChars="0" w:hanging="11" w:hangingChars="5"/>
              <w:rPr>
                <w:rFonts w:hint="eastAsia" w:ascii="仿宋" w:hAnsi="仿宋" w:eastAsia="仿宋" w:cs="仿宋"/>
                <w:sz w:val="22"/>
                <w:szCs w:val="22"/>
              </w:rPr>
            </w:pPr>
            <w:r>
              <w:rPr>
                <w:rFonts w:hint="eastAsia" w:ascii="仿宋" w:hAnsi="仿宋" w:eastAsia="仿宋" w:cs="仿宋"/>
                <w:sz w:val="22"/>
                <w:szCs w:val="22"/>
              </w:rPr>
              <w:t>1.11 规格：5-100µl</w:t>
            </w:r>
          </w:p>
        </w:tc>
      </w:tr>
      <w:tr w14:paraId="36771C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42C00C96">
            <w:pPr>
              <w:jc w:val="center"/>
              <w:rPr>
                <w:rFonts w:hint="eastAsia" w:ascii="仿宋" w:hAnsi="仿宋" w:eastAsia="仿宋" w:cs="仿宋"/>
                <w:b/>
                <w:bCs/>
                <w:sz w:val="22"/>
                <w:szCs w:val="22"/>
              </w:rPr>
            </w:pPr>
            <w:r>
              <w:rPr>
                <w:rFonts w:hint="eastAsia" w:ascii="仿宋" w:hAnsi="仿宋" w:eastAsia="仿宋" w:cs="仿宋"/>
                <w:kern w:val="0"/>
                <w:sz w:val="22"/>
                <w:szCs w:val="22"/>
                <w:lang w:val="en-US" w:eastAsia="zh-CN"/>
              </w:rPr>
              <w:t>4</w:t>
            </w:r>
          </w:p>
        </w:tc>
        <w:tc>
          <w:tcPr>
            <w:tcW w:w="528" w:type="pct"/>
            <w:tcBorders>
              <w:top w:val="single" w:color="auto" w:sz="4" w:space="0"/>
              <w:left w:val="single" w:color="auto" w:sz="4" w:space="0"/>
              <w:bottom w:val="single" w:color="auto" w:sz="4" w:space="0"/>
              <w:right w:val="single" w:color="auto" w:sz="4" w:space="0"/>
            </w:tcBorders>
            <w:vAlign w:val="center"/>
          </w:tcPr>
          <w:p w14:paraId="5F979C80">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小型电泳槽(4胶)</w:t>
            </w:r>
          </w:p>
        </w:tc>
        <w:tc>
          <w:tcPr>
            <w:tcW w:w="455" w:type="pct"/>
            <w:tcBorders>
              <w:top w:val="single" w:color="auto" w:sz="4" w:space="0"/>
              <w:left w:val="single" w:color="auto" w:sz="4" w:space="0"/>
              <w:bottom w:val="single" w:color="auto" w:sz="4" w:space="0"/>
              <w:right w:val="single" w:color="auto" w:sz="4" w:space="0"/>
            </w:tcBorders>
            <w:vAlign w:val="center"/>
          </w:tcPr>
          <w:p w14:paraId="1F969A68">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1套</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3D6CA4D4">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道一/</w:t>
            </w:r>
            <w:r>
              <w:rPr>
                <w:rFonts w:hint="eastAsia" w:ascii="仿宋" w:hAnsi="仿宋" w:eastAsia="仿宋" w:cs="仿宋"/>
              </w:rPr>
              <w:t xml:space="preserve"> </w:t>
            </w:r>
            <w:r>
              <w:rPr>
                <w:rFonts w:hint="eastAsia" w:ascii="仿宋" w:hAnsi="仿宋" w:eastAsia="仿宋" w:cs="仿宋"/>
                <w:kern w:val="0"/>
                <w:szCs w:val="21"/>
              </w:rPr>
              <w:t>PES-5/40</w:t>
            </w:r>
            <w:r>
              <w:rPr>
                <w:rFonts w:hint="eastAsia" w:ascii="仿宋" w:hAnsi="仿宋" w:eastAsia="仿宋" w:cs="仿宋"/>
                <w:kern w:val="0"/>
                <w:szCs w:val="21"/>
                <w:lang w:eastAsia="zh-CN"/>
              </w:rPr>
              <w:t>、</w:t>
            </w:r>
            <w:r>
              <w:rPr>
                <w:rFonts w:hint="eastAsia" w:ascii="仿宋" w:hAnsi="仿宋" w:eastAsia="仿宋" w:cs="仿宋"/>
                <w:kern w:val="0"/>
                <w:szCs w:val="21"/>
              </w:rPr>
              <w:t>北京六一/DYCZ-MINI4</w:t>
            </w:r>
            <w:r>
              <w:rPr>
                <w:rFonts w:hint="eastAsia" w:ascii="仿宋" w:hAnsi="仿宋" w:eastAsia="仿宋" w:cs="仿宋"/>
                <w:kern w:val="0"/>
                <w:szCs w:val="21"/>
                <w:lang w:eastAsia="zh-CN"/>
              </w:rPr>
              <w:t>、</w:t>
            </w:r>
            <w:r>
              <w:rPr>
                <w:rFonts w:hint="eastAsia" w:ascii="仿宋" w:hAnsi="仿宋" w:eastAsia="仿宋" w:cs="仿宋"/>
                <w:kern w:val="0"/>
                <w:szCs w:val="21"/>
              </w:rPr>
              <w:t>北京君意/JY-SCZ4</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55D053D6">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▲1.凝胶数：1-4</w:t>
            </w:r>
          </w:p>
          <w:p w14:paraId="3506F6FA">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2.手灌胶：使用玻璃板灌制</w:t>
            </w:r>
          </w:p>
          <w:p w14:paraId="5A2331CA">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3.凝胶尺寸（宽X长）：预制：86mm x 68mm；手灌：83mm x 73mm</w:t>
            </w:r>
          </w:p>
          <w:p w14:paraId="06223C1E">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4.玻璃板尺寸：短玻板 101mm x 73mm ； 长玻板  101mm x 82mm</w:t>
            </w:r>
          </w:p>
          <w:p w14:paraId="232CB938">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5.2块凝胶的缓冲液总体积：700ml</w:t>
            </w:r>
          </w:p>
          <w:p w14:paraId="53ACE421">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6.4块凝胶的缓冲液总体积：1000ml</w:t>
            </w:r>
          </w:p>
          <w:p w14:paraId="29DFF90D">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7.SDS – PAGE经典运行时间 ：35-45分钟（在200V恒定电压下）</w:t>
            </w:r>
          </w:p>
          <w:p w14:paraId="55BED5B9">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8.尺寸（宽 x 长x 高）：125mm x 165mm x 150mm</w:t>
            </w:r>
          </w:p>
          <w:p w14:paraId="4343C5FE">
            <w:pPr>
              <w:adjustRightInd w:val="0"/>
              <w:snapToGrid w:val="0"/>
              <w:spacing w:line="360" w:lineRule="exact"/>
              <w:ind w:left="11" w:leftChars="0" w:hanging="11" w:hangingChars="5"/>
              <w:rPr>
                <w:rFonts w:hint="eastAsia" w:ascii="仿宋" w:hAnsi="仿宋" w:eastAsia="仿宋" w:cs="仿宋"/>
                <w:sz w:val="22"/>
                <w:szCs w:val="22"/>
              </w:rPr>
            </w:pPr>
            <w:r>
              <w:rPr>
                <w:rFonts w:hint="eastAsia" w:ascii="仿宋" w:hAnsi="仿宋" w:eastAsia="仿宋" w:cs="仿宋"/>
                <w:sz w:val="22"/>
                <w:szCs w:val="22"/>
              </w:rPr>
              <w:t xml:space="preserve">9.重量（kg）：1.0kg </w:t>
            </w:r>
          </w:p>
        </w:tc>
      </w:tr>
      <w:tr w14:paraId="790EE3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21A791BD">
            <w:pPr>
              <w:jc w:val="center"/>
              <w:rPr>
                <w:rFonts w:hint="eastAsia" w:ascii="仿宋" w:hAnsi="仿宋" w:eastAsia="仿宋" w:cs="仿宋"/>
                <w:b/>
                <w:bCs/>
                <w:sz w:val="22"/>
                <w:szCs w:val="22"/>
              </w:rPr>
            </w:pPr>
            <w:r>
              <w:rPr>
                <w:rFonts w:hint="eastAsia" w:ascii="仿宋" w:hAnsi="仿宋" w:eastAsia="仿宋" w:cs="仿宋"/>
                <w:kern w:val="0"/>
                <w:sz w:val="22"/>
                <w:szCs w:val="22"/>
                <w:lang w:val="en-US" w:eastAsia="zh-CN"/>
              </w:rPr>
              <w:t>5</w:t>
            </w:r>
          </w:p>
        </w:tc>
        <w:tc>
          <w:tcPr>
            <w:tcW w:w="528" w:type="pct"/>
            <w:tcBorders>
              <w:top w:val="single" w:color="auto" w:sz="4" w:space="0"/>
              <w:left w:val="single" w:color="auto" w:sz="4" w:space="0"/>
              <w:bottom w:val="single" w:color="auto" w:sz="4" w:space="0"/>
              <w:right w:val="single" w:color="auto" w:sz="4" w:space="0"/>
            </w:tcBorders>
            <w:vAlign w:val="center"/>
          </w:tcPr>
          <w:p w14:paraId="1895B2E5">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转印模块(无槽)</w:t>
            </w:r>
          </w:p>
        </w:tc>
        <w:tc>
          <w:tcPr>
            <w:tcW w:w="455" w:type="pct"/>
            <w:tcBorders>
              <w:top w:val="single" w:color="auto" w:sz="4" w:space="0"/>
              <w:left w:val="single" w:color="auto" w:sz="4" w:space="0"/>
              <w:bottom w:val="single" w:color="auto" w:sz="4" w:space="0"/>
              <w:right w:val="single" w:color="auto" w:sz="4" w:space="0"/>
            </w:tcBorders>
            <w:vAlign w:val="center"/>
          </w:tcPr>
          <w:p w14:paraId="511FD383">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1套</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2B669817">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道一/TB-5</w:t>
            </w:r>
            <w:r>
              <w:rPr>
                <w:rFonts w:hint="eastAsia" w:ascii="仿宋" w:hAnsi="仿宋" w:eastAsia="仿宋" w:cs="仿宋"/>
                <w:kern w:val="0"/>
                <w:szCs w:val="21"/>
                <w:lang w:eastAsia="zh-CN"/>
              </w:rPr>
              <w:t>、</w:t>
            </w:r>
          </w:p>
          <w:p w14:paraId="028105C3">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北京六一/DYCZ-40C</w:t>
            </w:r>
          </w:p>
          <w:p w14:paraId="66F0C1C7">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lang w:eastAsia="zh-CN"/>
              </w:rPr>
              <w:t>、</w:t>
            </w:r>
            <w:r>
              <w:rPr>
                <w:rFonts w:hint="eastAsia" w:ascii="仿宋" w:hAnsi="仿宋" w:eastAsia="仿宋" w:cs="仿宋"/>
                <w:kern w:val="0"/>
                <w:szCs w:val="21"/>
              </w:rPr>
              <w:t>北京君意/JY-ZY5</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5D230821">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1、▲可同时转印2块100nm X 75nm凝胶,也可以进行低强度的隔夜转印;</w:t>
            </w:r>
          </w:p>
          <w:p w14:paraId="2DA7A62C">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2、近相距的电极以产生强电场保证高效的蛋白转印;</w:t>
            </w:r>
          </w:p>
          <w:p w14:paraId="0C2D4C09">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3、清晰的标志,确保转印过程中凝胶的正确定向;</w:t>
            </w:r>
          </w:p>
          <w:p w14:paraId="5312EDFE">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4、蓝色冰盒可完全置于转印槽内,在快速转印过程中吸收热量;</w:t>
            </w:r>
          </w:p>
          <w:p w14:paraId="3A4D3FDD">
            <w:pPr>
              <w:adjustRightInd w:val="0"/>
              <w:snapToGrid w:val="0"/>
              <w:spacing w:line="360" w:lineRule="exact"/>
              <w:ind w:left="10" w:hanging="11" w:hangingChars="5"/>
              <w:rPr>
                <w:rFonts w:hint="eastAsia" w:ascii="仿宋" w:hAnsi="仿宋" w:eastAsia="仿宋" w:cs="仿宋"/>
                <w:color w:val="000000"/>
                <w:kern w:val="0"/>
                <w:sz w:val="22"/>
                <w:szCs w:val="22"/>
                <w:lang w:bidi="ar"/>
              </w:rPr>
            </w:pPr>
            <w:r>
              <w:rPr>
                <w:rFonts w:hint="eastAsia" w:ascii="仿宋" w:hAnsi="仿宋" w:eastAsia="仿宋" w:cs="仿宋"/>
                <w:sz w:val="22"/>
                <w:szCs w:val="22"/>
              </w:rPr>
              <w:t>5、缓冲液要求:1000ml;</w:t>
            </w:r>
          </w:p>
        </w:tc>
      </w:tr>
      <w:tr w14:paraId="1C5671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32846DBB">
            <w:pPr>
              <w:jc w:val="center"/>
              <w:rPr>
                <w:rFonts w:hint="eastAsia" w:ascii="仿宋" w:hAnsi="仿宋" w:eastAsia="仿宋" w:cs="仿宋"/>
                <w:b/>
                <w:bCs/>
                <w:sz w:val="22"/>
                <w:szCs w:val="22"/>
              </w:rPr>
            </w:pPr>
            <w:r>
              <w:rPr>
                <w:rFonts w:hint="eastAsia" w:ascii="仿宋" w:hAnsi="仿宋" w:eastAsia="仿宋" w:cs="仿宋"/>
                <w:kern w:val="0"/>
                <w:sz w:val="22"/>
                <w:szCs w:val="22"/>
                <w:lang w:val="en-US" w:eastAsia="zh-CN"/>
              </w:rPr>
              <w:t>6</w:t>
            </w:r>
          </w:p>
        </w:tc>
        <w:tc>
          <w:tcPr>
            <w:tcW w:w="528" w:type="pct"/>
            <w:tcBorders>
              <w:top w:val="single" w:color="auto" w:sz="4" w:space="0"/>
              <w:left w:val="single" w:color="auto" w:sz="4" w:space="0"/>
              <w:bottom w:val="single" w:color="auto" w:sz="4" w:space="0"/>
              <w:right w:val="single" w:color="auto" w:sz="4" w:space="0"/>
            </w:tcBorders>
            <w:vAlign w:val="center"/>
          </w:tcPr>
          <w:p w14:paraId="26FF60B0">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移液枪（0.1-2.5 ul）</w:t>
            </w:r>
          </w:p>
        </w:tc>
        <w:tc>
          <w:tcPr>
            <w:tcW w:w="455" w:type="pct"/>
            <w:tcBorders>
              <w:top w:val="single" w:color="auto" w:sz="4" w:space="0"/>
              <w:left w:val="single" w:color="auto" w:sz="4" w:space="0"/>
              <w:bottom w:val="single" w:color="auto" w:sz="4" w:space="0"/>
              <w:right w:val="single" w:color="auto" w:sz="4" w:space="0"/>
            </w:tcBorders>
            <w:vAlign w:val="center"/>
          </w:tcPr>
          <w:p w14:paraId="1CBCE58E">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5支</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0C91D2B4">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Eppendorf /Research plus</w:t>
            </w:r>
            <w:r>
              <w:rPr>
                <w:rFonts w:hint="eastAsia" w:ascii="仿宋" w:hAnsi="仿宋" w:eastAsia="仿宋" w:cs="仿宋"/>
                <w:kern w:val="0"/>
                <w:szCs w:val="21"/>
                <w:lang w:eastAsia="zh-CN"/>
              </w:rPr>
              <w:t>、</w:t>
            </w:r>
            <w:r>
              <w:rPr>
                <w:rFonts w:hint="eastAsia" w:ascii="仿宋" w:hAnsi="仿宋" w:eastAsia="仿宋" w:cs="仿宋"/>
              </w:rPr>
              <w:t>BRAND /Transferpette® S</w:t>
            </w:r>
            <w:r>
              <w:rPr>
                <w:rFonts w:hint="eastAsia" w:ascii="仿宋" w:hAnsi="仿宋" w:eastAsia="仿宋" w:cs="仿宋"/>
                <w:lang w:eastAsia="zh-CN"/>
              </w:rPr>
              <w:t>、</w:t>
            </w:r>
            <w:r>
              <w:rPr>
                <w:rFonts w:hint="eastAsia" w:ascii="仿宋" w:hAnsi="仿宋" w:eastAsia="仿宋" w:cs="仿宋"/>
                <w:kern w:val="0"/>
                <w:szCs w:val="21"/>
              </w:rPr>
              <w:t>Sartorius /Tacta</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78A19459">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1.技术参数</w:t>
            </w:r>
          </w:p>
          <w:p w14:paraId="206C8151">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1.1采用Perfect Piston™系统的高科技材质，重量轻（仅约80g），操作力小，坚固耐用，耐高温抗腐蚀</w:t>
            </w:r>
          </w:p>
          <w:p w14:paraId="2C1B998A">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1.2可整支高温高压灭菌和紫外线灭菌，操作更安全</w:t>
            </w:r>
          </w:p>
          <w:p w14:paraId="57F706AC">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1.3人体工程学设计，显著减少手、手臂和肩膀用力，避免手部重复性劳损（RSI）</w:t>
            </w:r>
          </w:p>
          <w:p w14:paraId="010D55F4">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1.4下半支可徒手拆卸，便于清洁保养</w:t>
            </w:r>
          </w:p>
          <w:p w14:paraId="7E64E423">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1.5伸缩式弹性吸嘴设计，确保吸头装配的气密性和移液均一性</w:t>
            </w:r>
          </w:p>
          <w:p w14:paraId="5AB0BA07">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1.6四位数字放大体积显示，可精准设置移液体积</w:t>
            </w:r>
          </w:p>
          <w:p w14:paraId="0F220E00">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1.7体积视窗位置合理（在前面），便于移液观察，可单手设定体积及操作</w:t>
            </w:r>
          </w:p>
          <w:p w14:paraId="7B445EB0">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 xml:space="preserve">1.8独有密度调节窗口，适用于不同密度的液体 ，通用性更广泛  </w:t>
            </w:r>
          </w:p>
          <w:p w14:paraId="47FFD951">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1.9 0.1μL－10mL 10种不同量程选择，全面满足不同使用需求</w:t>
            </w:r>
          </w:p>
          <w:p w14:paraId="3A95475F">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1.10颜色标识移液器量程</w:t>
            </w:r>
          </w:p>
          <w:p w14:paraId="772D1D28">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1.11 RFID 数据芯片读取功能，可读取数据进行追踪</w:t>
            </w:r>
          </w:p>
          <w:p w14:paraId="4E1E8CC9">
            <w:pPr>
              <w:adjustRightInd w:val="0"/>
              <w:snapToGrid w:val="0"/>
              <w:spacing w:line="360" w:lineRule="exact"/>
              <w:ind w:left="11" w:leftChars="0" w:hanging="11" w:hangingChars="5"/>
              <w:rPr>
                <w:rFonts w:hint="eastAsia" w:ascii="仿宋" w:hAnsi="仿宋" w:eastAsia="仿宋" w:cs="仿宋"/>
                <w:sz w:val="22"/>
                <w:szCs w:val="22"/>
              </w:rPr>
            </w:pPr>
            <w:r>
              <w:rPr>
                <w:rFonts w:hint="eastAsia" w:ascii="仿宋" w:hAnsi="仿宋" w:eastAsia="仿宋" w:cs="仿宋"/>
                <w:sz w:val="22"/>
                <w:szCs w:val="22"/>
              </w:rPr>
              <w:t>1.12 规格 0.1-2.5 ul</w:t>
            </w:r>
          </w:p>
        </w:tc>
      </w:tr>
      <w:tr w14:paraId="780CCE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1F6F9676">
            <w:pPr>
              <w:jc w:val="center"/>
              <w:rPr>
                <w:rFonts w:hint="eastAsia" w:ascii="仿宋" w:hAnsi="仿宋" w:eastAsia="仿宋" w:cs="仿宋"/>
                <w:b/>
                <w:bCs/>
                <w:sz w:val="22"/>
                <w:szCs w:val="22"/>
              </w:rPr>
            </w:pPr>
            <w:r>
              <w:rPr>
                <w:rFonts w:hint="eastAsia" w:ascii="仿宋" w:hAnsi="仿宋" w:eastAsia="仿宋" w:cs="仿宋"/>
                <w:kern w:val="0"/>
                <w:sz w:val="22"/>
                <w:szCs w:val="22"/>
                <w:lang w:val="en-US" w:eastAsia="zh-CN"/>
              </w:rPr>
              <w:t>7</w:t>
            </w:r>
          </w:p>
        </w:tc>
        <w:tc>
          <w:tcPr>
            <w:tcW w:w="528" w:type="pct"/>
            <w:tcBorders>
              <w:top w:val="single" w:color="auto" w:sz="4" w:space="0"/>
              <w:left w:val="single" w:color="auto" w:sz="4" w:space="0"/>
              <w:bottom w:val="single" w:color="auto" w:sz="4" w:space="0"/>
              <w:right w:val="single" w:color="auto" w:sz="4" w:space="0"/>
            </w:tcBorders>
            <w:vAlign w:val="center"/>
          </w:tcPr>
          <w:p w14:paraId="1F7D3C88">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移液枪（10-100 ul）</w:t>
            </w:r>
          </w:p>
        </w:tc>
        <w:tc>
          <w:tcPr>
            <w:tcW w:w="455" w:type="pct"/>
            <w:tcBorders>
              <w:top w:val="single" w:color="auto" w:sz="4" w:space="0"/>
              <w:left w:val="single" w:color="auto" w:sz="4" w:space="0"/>
              <w:bottom w:val="single" w:color="auto" w:sz="4" w:space="0"/>
              <w:right w:val="single" w:color="auto" w:sz="4" w:space="0"/>
            </w:tcBorders>
            <w:vAlign w:val="center"/>
          </w:tcPr>
          <w:p w14:paraId="1EDF1F89">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5支</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2A4DBCB4">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Eppendorf /Research plus</w:t>
            </w:r>
            <w:r>
              <w:rPr>
                <w:rFonts w:hint="eastAsia" w:ascii="仿宋" w:hAnsi="仿宋" w:eastAsia="仿宋" w:cs="仿宋"/>
                <w:kern w:val="0"/>
                <w:szCs w:val="21"/>
                <w:lang w:eastAsia="zh-CN"/>
              </w:rPr>
              <w:t>、</w:t>
            </w:r>
          </w:p>
          <w:p w14:paraId="53F3BA23">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lang w:eastAsia="zh-CN"/>
              </w:rPr>
            </w:pPr>
            <w:r>
              <w:rPr>
                <w:rFonts w:hint="eastAsia" w:ascii="仿宋" w:hAnsi="仿宋" w:eastAsia="仿宋" w:cs="仿宋"/>
              </w:rPr>
              <w:t>BRAND /Transferpette® S</w:t>
            </w:r>
            <w:r>
              <w:rPr>
                <w:rFonts w:hint="eastAsia" w:ascii="仿宋" w:hAnsi="仿宋" w:eastAsia="仿宋" w:cs="仿宋"/>
                <w:lang w:eastAsia="zh-CN"/>
              </w:rPr>
              <w:t>、</w:t>
            </w:r>
          </w:p>
          <w:p w14:paraId="0F9FE2D2">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Sartorius /Tacta</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5FB525A8">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1.技术参数</w:t>
            </w:r>
          </w:p>
          <w:p w14:paraId="60150707">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1.1采用Perfect Piston™系统的高科技材质，重量轻（仅约80g），操作力小，坚固耐用，耐高温抗腐蚀</w:t>
            </w:r>
          </w:p>
          <w:p w14:paraId="452D079B">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1.2可整支高温高压灭菌和紫外线灭菌，操作更安全</w:t>
            </w:r>
          </w:p>
          <w:p w14:paraId="2733B67A">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1.3人体工程学设计，显著减少手、手臂和肩膀用力，避免手部重复性劳损（RSI）</w:t>
            </w:r>
          </w:p>
          <w:p w14:paraId="558F2C53">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1.4下半支可徒手拆卸，便于清洁保养</w:t>
            </w:r>
          </w:p>
          <w:p w14:paraId="1EF079DC">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1.5伸缩式弹性吸嘴设计，确保吸头装配的气密性和移液均一性</w:t>
            </w:r>
          </w:p>
          <w:p w14:paraId="71B517E3">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1.6四位数字放大体积显示，可精准设置移液体积</w:t>
            </w:r>
          </w:p>
          <w:p w14:paraId="2AA5B109">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1.7体积视窗位置合理（在前面），便于移液观察，可单手设定体积及操作</w:t>
            </w:r>
          </w:p>
          <w:p w14:paraId="0911A0A4">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 xml:space="preserve">1.8独有密度调节窗口，适用于不同密度的液体 ，通用性更广泛  </w:t>
            </w:r>
          </w:p>
          <w:p w14:paraId="26055155">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1.9 0.1μL－10mL 10种不同量程选择，全面满足不同使用需求</w:t>
            </w:r>
          </w:p>
          <w:p w14:paraId="6A8CC20E">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1.10颜色标识移液器量程</w:t>
            </w:r>
          </w:p>
          <w:p w14:paraId="41379372">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1.11 RFID 数据芯片读取功能，可读取数据进行追踪</w:t>
            </w:r>
          </w:p>
          <w:p w14:paraId="3B4DF760">
            <w:pPr>
              <w:adjustRightInd w:val="0"/>
              <w:snapToGrid w:val="0"/>
              <w:spacing w:line="360" w:lineRule="exact"/>
              <w:ind w:left="11" w:leftChars="0" w:hanging="11" w:hangingChars="5"/>
              <w:rPr>
                <w:rFonts w:hint="eastAsia" w:ascii="仿宋" w:hAnsi="仿宋" w:eastAsia="仿宋" w:cs="仿宋"/>
                <w:sz w:val="22"/>
                <w:szCs w:val="22"/>
              </w:rPr>
            </w:pPr>
            <w:r>
              <w:rPr>
                <w:rFonts w:hint="eastAsia" w:ascii="仿宋" w:hAnsi="仿宋" w:eastAsia="仿宋" w:cs="仿宋"/>
                <w:sz w:val="22"/>
                <w:szCs w:val="22"/>
              </w:rPr>
              <w:t>1.12 规格 10-100 ul</w:t>
            </w:r>
          </w:p>
        </w:tc>
      </w:tr>
      <w:tr w14:paraId="045EBE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0E8B0683">
            <w:pPr>
              <w:jc w:val="center"/>
              <w:rPr>
                <w:rFonts w:hint="eastAsia" w:ascii="仿宋" w:hAnsi="仿宋" w:eastAsia="仿宋" w:cs="仿宋"/>
                <w:b/>
                <w:bCs/>
                <w:sz w:val="22"/>
                <w:szCs w:val="22"/>
              </w:rPr>
            </w:pPr>
            <w:r>
              <w:rPr>
                <w:rFonts w:hint="eastAsia" w:ascii="仿宋" w:hAnsi="仿宋" w:eastAsia="仿宋" w:cs="仿宋"/>
                <w:kern w:val="0"/>
                <w:sz w:val="22"/>
                <w:szCs w:val="22"/>
                <w:lang w:val="en-US" w:eastAsia="zh-CN"/>
              </w:rPr>
              <w:t>8</w:t>
            </w:r>
          </w:p>
        </w:tc>
        <w:tc>
          <w:tcPr>
            <w:tcW w:w="528" w:type="pct"/>
            <w:tcBorders>
              <w:top w:val="single" w:color="auto" w:sz="4" w:space="0"/>
              <w:left w:val="single" w:color="auto" w:sz="4" w:space="0"/>
              <w:bottom w:val="single" w:color="auto" w:sz="4" w:space="0"/>
              <w:right w:val="single" w:color="auto" w:sz="4" w:space="0"/>
            </w:tcBorders>
            <w:vAlign w:val="center"/>
          </w:tcPr>
          <w:p w14:paraId="11F77EB0">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移液枪（0.5-10 ul）</w:t>
            </w:r>
          </w:p>
        </w:tc>
        <w:tc>
          <w:tcPr>
            <w:tcW w:w="455" w:type="pct"/>
            <w:tcBorders>
              <w:top w:val="single" w:color="auto" w:sz="4" w:space="0"/>
              <w:left w:val="single" w:color="auto" w:sz="4" w:space="0"/>
              <w:bottom w:val="single" w:color="auto" w:sz="4" w:space="0"/>
              <w:right w:val="single" w:color="auto" w:sz="4" w:space="0"/>
            </w:tcBorders>
            <w:vAlign w:val="center"/>
          </w:tcPr>
          <w:p w14:paraId="218CDF28">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5支</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60B27DFE">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Eppendorf /Research plus</w:t>
            </w:r>
            <w:r>
              <w:rPr>
                <w:rFonts w:hint="eastAsia" w:ascii="仿宋" w:hAnsi="仿宋" w:eastAsia="仿宋" w:cs="仿宋"/>
                <w:kern w:val="0"/>
                <w:szCs w:val="21"/>
                <w:lang w:eastAsia="zh-CN"/>
              </w:rPr>
              <w:t>、</w:t>
            </w:r>
          </w:p>
          <w:p w14:paraId="41C9E723">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lang w:eastAsia="zh-CN"/>
              </w:rPr>
            </w:pPr>
            <w:r>
              <w:rPr>
                <w:rFonts w:hint="eastAsia" w:ascii="仿宋" w:hAnsi="仿宋" w:eastAsia="仿宋" w:cs="仿宋"/>
              </w:rPr>
              <w:t>BRAND /Transferpette® S</w:t>
            </w:r>
            <w:r>
              <w:rPr>
                <w:rFonts w:hint="eastAsia" w:ascii="仿宋" w:hAnsi="仿宋" w:eastAsia="仿宋" w:cs="仿宋"/>
                <w:lang w:eastAsia="zh-CN"/>
              </w:rPr>
              <w:t>、</w:t>
            </w:r>
          </w:p>
          <w:p w14:paraId="140CF72C">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Sartorius /Tacta</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0D5373C3">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1.技术参数</w:t>
            </w:r>
          </w:p>
          <w:p w14:paraId="63D33648">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1.1采用Perfect Piston™系统的高科技材质，重量轻（仅约80g），操作力小，坚固耐用，耐高温抗腐蚀</w:t>
            </w:r>
          </w:p>
          <w:p w14:paraId="019CB64D">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1.2可整支高温高压灭菌和紫外线灭菌，操作更安全</w:t>
            </w:r>
          </w:p>
          <w:p w14:paraId="4430C2FD">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1.3人体工程学设计，显著减少手、手臂和肩膀用力，避免手部重复性劳损（RSI）</w:t>
            </w:r>
          </w:p>
          <w:p w14:paraId="22A1E386">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1.4下半支可徒手拆卸，便于清洁保养</w:t>
            </w:r>
          </w:p>
          <w:p w14:paraId="06F907DA">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1.5伸缩式弹性吸嘴设计，确保吸头装配的气密性和移液均一性</w:t>
            </w:r>
          </w:p>
          <w:p w14:paraId="397845CC">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1.6四位数字放大体积显示，可精准设置移液体积</w:t>
            </w:r>
          </w:p>
          <w:p w14:paraId="2D392F34">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1.7体积视窗位置合理（在前面），便于移液观察，可单手设定体积及操作</w:t>
            </w:r>
          </w:p>
          <w:p w14:paraId="191A502B">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 xml:space="preserve">1.8独有密度调节窗口，适用于不同密度的液体 ，通用性更广泛  </w:t>
            </w:r>
          </w:p>
          <w:p w14:paraId="452D8D32">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1.9 0.1μL－10mL 10种不同量程选择，全面满足不同使用需求</w:t>
            </w:r>
          </w:p>
          <w:p w14:paraId="33568B06">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1.10颜色标识移液器量程</w:t>
            </w:r>
          </w:p>
          <w:p w14:paraId="2DC4D211">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1.11 RFID 数据芯片读取功能，可读取数据进行追踪</w:t>
            </w:r>
          </w:p>
          <w:p w14:paraId="774F5035">
            <w:pPr>
              <w:adjustRightInd w:val="0"/>
              <w:snapToGrid w:val="0"/>
              <w:spacing w:line="360" w:lineRule="exact"/>
              <w:ind w:left="11" w:leftChars="0" w:hanging="11" w:hangingChars="5"/>
              <w:rPr>
                <w:rFonts w:hint="eastAsia" w:ascii="仿宋" w:hAnsi="仿宋" w:eastAsia="仿宋" w:cs="仿宋"/>
                <w:sz w:val="22"/>
                <w:szCs w:val="22"/>
              </w:rPr>
            </w:pPr>
            <w:r>
              <w:rPr>
                <w:rFonts w:hint="eastAsia" w:ascii="仿宋" w:hAnsi="仿宋" w:eastAsia="仿宋" w:cs="仿宋"/>
                <w:sz w:val="22"/>
                <w:szCs w:val="22"/>
              </w:rPr>
              <w:t>1.12 规格 0.5-10 ul</w:t>
            </w:r>
          </w:p>
        </w:tc>
      </w:tr>
      <w:tr w14:paraId="62FC38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551E3CEA">
            <w:pPr>
              <w:jc w:val="center"/>
              <w:rPr>
                <w:rFonts w:hint="eastAsia" w:ascii="仿宋" w:hAnsi="仿宋" w:eastAsia="仿宋" w:cs="仿宋"/>
                <w:b/>
                <w:bCs/>
                <w:sz w:val="22"/>
                <w:szCs w:val="22"/>
              </w:rPr>
            </w:pPr>
            <w:r>
              <w:rPr>
                <w:rFonts w:hint="eastAsia" w:ascii="仿宋" w:hAnsi="仿宋" w:eastAsia="仿宋" w:cs="仿宋"/>
                <w:kern w:val="0"/>
                <w:sz w:val="22"/>
                <w:szCs w:val="22"/>
                <w:lang w:val="en-US" w:eastAsia="zh-CN"/>
              </w:rPr>
              <w:t>9</w:t>
            </w:r>
          </w:p>
        </w:tc>
        <w:tc>
          <w:tcPr>
            <w:tcW w:w="528" w:type="pct"/>
            <w:tcBorders>
              <w:top w:val="single" w:color="auto" w:sz="4" w:space="0"/>
              <w:left w:val="single" w:color="auto" w:sz="4" w:space="0"/>
              <w:bottom w:val="single" w:color="auto" w:sz="4" w:space="0"/>
              <w:right w:val="single" w:color="auto" w:sz="4" w:space="0"/>
            </w:tcBorders>
            <w:vAlign w:val="center"/>
          </w:tcPr>
          <w:p w14:paraId="30570F0D">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移液枪（100-1000 ul）</w:t>
            </w:r>
          </w:p>
        </w:tc>
        <w:tc>
          <w:tcPr>
            <w:tcW w:w="455" w:type="pct"/>
            <w:tcBorders>
              <w:top w:val="single" w:color="auto" w:sz="4" w:space="0"/>
              <w:left w:val="single" w:color="auto" w:sz="4" w:space="0"/>
              <w:bottom w:val="single" w:color="auto" w:sz="4" w:space="0"/>
              <w:right w:val="single" w:color="auto" w:sz="4" w:space="0"/>
            </w:tcBorders>
            <w:vAlign w:val="center"/>
          </w:tcPr>
          <w:p w14:paraId="525E5763">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5支</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3A6D2A59">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Eppendorf /Research plus</w:t>
            </w:r>
            <w:r>
              <w:rPr>
                <w:rFonts w:hint="eastAsia" w:ascii="仿宋" w:hAnsi="仿宋" w:eastAsia="仿宋" w:cs="仿宋"/>
                <w:kern w:val="0"/>
                <w:szCs w:val="21"/>
                <w:lang w:eastAsia="zh-CN"/>
              </w:rPr>
              <w:t>、</w:t>
            </w:r>
          </w:p>
          <w:p w14:paraId="5FE9485F">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lang w:eastAsia="zh-CN"/>
              </w:rPr>
            </w:pPr>
            <w:r>
              <w:rPr>
                <w:rFonts w:hint="eastAsia" w:ascii="仿宋" w:hAnsi="仿宋" w:eastAsia="仿宋" w:cs="仿宋"/>
              </w:rPr>
              <w:t>BRAND /Transferpette® S</w:t>
            </w:r>
            <w:r>
              <w:rPr>
                <w:rFonts w:hint="eastAsia" w:ascii="仿宋" w:hAnsi="仿宋" w:eastAsia="仿宋" w:cs="仿宋"/>
                <w:lang w:eastAsia="zh-CN"/>
              </w:rPr>
              <w:t>、</w:t>
            </w:r>
          </w:p>
          <w:p w14:paraId="24B4C3D8">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Sartorius /Tacta</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07AD18F2">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1.技术参数</w:t>
            </w:r>
          </w:p>
          <w:p w14:paraId="290B9D5D">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1.1采用Perfect Piston™系统的高科技材质，重量轻（仅约80g），操作力小，坚固耐用，耐高温抗腐蚀</w:t>
            </w:r>
          </w:p>
          <w:p w14:paraId="6A860F75">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1.2可整支高温高压灭菌和紫外线灭菌，操作更安全</w:t>
            </w:r>
          </w:p>
          <w:p w14:paraId="2B7F4B6C">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1.3人体工程学设计，显著减少手、手臂和肩膀用力，避免手部重复性劳损（RSI）</w:t>
            </w:r>
          </w:p>
          <w:p w14:paraId="1C4DA2AC">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1.4下半支可徒手拆卸，便于清洁保养</w:t>
            </w:r>
          </w:p>
          <w:p w14:paraId="1987B51B">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1.5伸缩式弹性吸嘴设计，确保吸头装配的气密性和移液均一性</w:t>
            </w:r>
          </w:p>
          <w:p w14:paraId="1310ECE4">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1.6四位数字放大体积显示，可精准设置移液体积</w:t>
            </w:r>
          </w:p>
          <w:p w14:paraId="715E0AA0">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1.7体积视窗位置合理（在前面），便于移液观察，可单手设定体积及操作</w:t>
            </w:r>
          </w:p>
          <w:p w14:paraId="2A2BB709">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 xml:space="preserve">1.8独有密度调节窗口，适用于不同密度的液体 ，通用性更广泛  </w:t>
            </w:r>
          </w:p>
          <w:p w14:paraId="2118D66D">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1.9 0.1μL－10mL 10种不同量程选择，全面满足不同使用需求</w:t>
            </w:r>
          </w:p>
          <w:p w14:paraId="4ABFD087">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1.10颜色标识移液器量程</w:t>
            </w:r>
          </w:p>
          <w:p w14:paraId="44CCBE24">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1.11 RFID 数据芯片读取功能，可读取数据进行追踪</w:t>
            </w:r>
          </w:p>
          <w:p w14:paraId="76F8C3F2">
            <w:pPr>
              <w:adjustRightInd w:val="0"/>
              <w:snapToGrid w:val="0"/>
              <w:spacing w:line="360" w:lineRule="exact"/>
              <w:ind w:left="11" w:leftChars="0" w:hanging="11" w:hangingChars="5"/>
              <w:rPr>
                <w:rFonts w:hint="eastAsia" w:ascii="仿宋" w:hAnsi="仿宋" w:eastAsia="仿宋" w:cs="仿宋"/>
                <w:sz w:val="22"/>
                <w:szCs w:val="22"/>
              </w:rPr>
            </w:pPr>
            <w:r>
              <w:rPr>
                <w:rFonts w:hint="eastAsia" w:ascii="仿宋" w:hAnsi="仿宋" w:eastAsia="仿宋" w:cs="仿宋"/>
                <w:sz w:val="22"/>
                <w:szCs w:val="22"/>
              </w:rPr>
              <w:t>1.12 规格 100-1000 ul</w:t>
            </w:r>
          </w:p>
        </w:tc>
      </w:tr>
      <w:tr w14:paraId="0C148D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4CB33635">
            <w:pPr>
              <w:jc w:val="center"/>
              <w:rPr>
                <w:rFonts w:hint="eastAsia" w:ascii="仿宋" w:hAnsi="仿宋" w:eastAsia="仿宋" w:cs="仿宋"/>
                <w:b/>
                <w:bCs/>
                <w:sz w:val="22"/>
                <w:szCs w:val="22"/>
              </w:rPr>
            </w:pPr>
            <w:r>
              <w:rPr>
                <w:rFonts w:hint="eastAsia" w:ascii="仿宋" w:hAnsi="仿宋" w:eastAsia="仿宋" w:cs="仿宋"/>
                <w:kern w:val="0"/>
                <w:sz w:val="22"/>
                <w:szCs w:val="22"/>
                <w:lang w:val="en-US" w:eastAsia="zh-CN"/>
              </w:rPr>
              <w:t>10</w:t>
            </w:r>
          </w:p>
        </w:tc>
        <w:tc>
          <w:tcPr>
            <w:tcW w:w="528" w:type="pct"/>
            <w:tcBorders>
              <w:top w:val="single" w:color="auto" w:sz="4" w:space="0"/>
              <w:left w:val="single" w:color="auto" w:sz="4" w:space="0"/>
              <w:bottom w:val="single" w:color="auto" w:sz="4" w:space="0"/>
              <w:right w:val="single" w:color="auto" w:sz="4" w:space="0"/>
            </w:tcBorders>
            <w:vAlign w:val="center"/>
          </w:tcPr>
          <w:p w14:paraId="4B80532B">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滚筒洗衣机</w:t>
            </w:r>
          </w:p>
        </w:tc>
        <w:tc>
          <w:tcPr>
            <w:tcW w:w="455" w:type="pct"/>
            <w:tcBorders>
              <w:top w:val="single" w:color="auto" w:sz="4" w:space="0"/>
              <w:left w:val="single" w:color="auto" w:sz="4" w:space="0"/>
              <w:bottom w:val="single" w:color="auto" w:sz="4" w:space="0"/>
              <w:right w:val="single" w:color="auto" w:sz="4" w:space="0"/>
            </w:tcBorders>
            <w:vAlign w:val="center"/>
          </w:tcPr>
          <w:p w14:paraId="11ED674F">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1台</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649363F9">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小天鹅/TD10V628T</w:t>
            </w:r>
            <w:r>
              <w:rPr>
                <w:rFonts w:hint="eastAsia" w:ascii="仿宋" w:hAnsi="仿宋" w:eastAsia="仿宋" w:cs="仿宋"/>
                <w:kern w:val="0"/>
                <w:szCs w:val="21"/>
                <w:lang w:eastAsia="zh-CN"/>
              </w:rPr>
              <w:t>、</w:t>
            </w:r>
          </w:p>
          <w:p w14:paraId="54CABCED">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美的MG12L5PROMAX</w:t>
            </w:r>
            <w:r>
              <w:rPr>
                <w:rFonts w:hint="eastAsia" w:ascii="仿宋" w:hAnsi="仿宋" w:eastAsia="仿宋" w:cs="仿宋"/>
                <w:kern w:val="0"/>
                <w:szCs w:val="21"/>
                <w:lang w:eastAsia="zh-CN"/>
              </w:rPr>
              <w:t>、</w:t>
            </w:r>
          </w:p>
          <w:p w14:paraId="0E35C943">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松下XQG100-F1RD3</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084B910B">
            <w:pPr>
              <w:adjustRightInd w:val="0"/>
              <w:snapToGrid w:val="0"/>
              <w:spacing w:line="360" w:lineRule="exact"/>
              <w:ind w:left="11" w:leftChars="0" w:hanging="11" w:hangingChars="5"/>
              <w:rPr>
                <w:rFonts w:hint="eastAsia" w:ascii="仿宋" w:hAnsi="仿宋" w:eastAsia="仿宋" w:cs="仿宋"/>
                <w:sz w:val="22"/>
                <w:szCs w:val="22"/>
              </w:rPr>
            </w:pPr>
            <w:r>
              <w:rPr>
                <w:rFonts w:hint="eastAsia" w:ascii="仿宋" w:hAnsi="仿宋" w:eastAsia="仿宋" w:cs="仿宋"/>
                <w:sz w:val="22"/>
                <w:szCs w:val="22"/>
              </w:rPr>
              <w:t>1、脱水转速：1200转/分钟；2、洗涤容量：10-20kg;3、抗菌类型：银离子除菌；4、能效等级：一级能效</w:t>
            </w:r>
          </w:p>
        </w:tc>
      </w:tr>
      <w:tr w14:paraId="048FB2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5F7D4D7E">
            <w:pPr>
              <w:jc w:val="center"/>
              <w:rPr>
                <w:rFonts w:hint="eastAsia" w:ascii="仿宋" w:hAnsi="仿宋" w:eastAsia="仿宋" w:cs="仿宋"/>
                <w:b/>
                <w:bCs/>
                <w:sz w:val="22"/>
                <w:szCs w:val="22"/>
              </w:rPr>
            </w:pPr>
            <w:r>
              <w:rPr>
                <w:rFonts w:hint="eastAsia" w:ascii="仿宋" w:hAnsi="仿宋" w:eastAsia="仿宋" w:cs="仿宋"/>
                <w:kern w:val="0"/>
                <w:sz w:val="22"/>
                <w:szCs w:val="22"/>
                <w:lang w:val="en-US" w:eastAsia="zh-CN"/>
              </w:rPr>
              <w:t>11</w:t>
            </w:r>
          </w:p>
        </w:tc>
        <w:tc>
          <w:tcPr>
            <w:tcW w:w="528" w:type="pct"/>
            <w:tcBorders>
              <w:top w:val="single" w:color="auto" w:sz="4" w:space="0"/>
              <w:left w:val="single" w:color="auto" w:sz="4" w:space="0"/>
              <w:bottom w:val="single" w:color="auto" w:sz="4" w:space="0"/>
              <w:right w:val="single" w:color="auto" w:sz="4" w:space="0"/>
            </w:tcBorders>
            <w:vAlign w:val="center"/>
          </w:tcPr>
          <w:p w14:paraId="6EFB5C43">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冷藏冷冻保存箱</w:t>
            </w:r>
          </w:p>
        </w:tc>
        <w:tc>
          <w:tcPr>
            <w:tcW w:w="455" w:type="pct"/>
            <w:tcBorders>
              <w:top w:val="single" w:color="auto" w:sz="4" w:space="0"/>
              <w:left w:val="single" w:color="auto" w:sz="4" w:space="0"/>
              <w:bottom w:val="single" w:color="auto" w:sz="4" w:space="0"/>
              <w:right w:val="single" w:color="auto" w:sz="4" w:space="0"/>
            </w:tcBorders>
            <w:vAlign w:val="center"/>
          </w:tcPr>
          <w:p w14:paraId="4130FAA3">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2台</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47D65382">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美菱/YCD-EL300</w:t>
            </w:r>
            <w:r>
              <w:rPr>
                <w:rFonts w:hint="eastAsia" w:ascii="仿宋" w:hAnsi="仿宋" w:eastAsia="仿宋" w:cs="仿宋"/>
                <w:kern w:val="0"/>
                <w:szCs w:val="21"/>
                <w:lang w:eastAsia="zh-CN"/>
              </w:rPr>
              <w:t>、</w:t>
            </w:r>
          </w:p>
          <w:p w14:paraId="54CEBB6B">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海尔HYCD-469</w:t>
            </w:r>
            <w:r>
              <w:rPr>
                <w:rFonts w:hint="eastAsia" w:ascii="仿宋" w:hAnsi="仿宋" w:eastAsia="仿宋" w:cs="仿宋"/>
                <w:kern w:val="0"/>
                <w:szCs w:val="21"/>
                <w:lang w:eastAsia="zh-CN"/>
              </w:rPr>
              <w:t>、</w:t>
            </w:r>
            <w:r>
              <w:rPr>
                <w:rFonts w:hint="eastAsia" w:ascii="仿宋" w:hAnsi="仿宋" w:eastAsia="仿宋" w:cs="仿宋"/>
                <w:kern w:val="0"/>
                <w:szCs w:val="21"/>
              </w:rPr>
              <w:t>美的HYCD-469</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033997F0">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1、规格：立式，有效容积≥300升，其中冷藏室占总有效容积的60%以上。</w:t>
            </w:r>
          </w:p>
          <w:p w14:paraId="1551B34F">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2、▲功率：额定功率≤260W。</w:t>
            </w:r>
          </w:p>
          <w:p w14:paraId="5FE9215E">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3、精确控温：微电脑控制，冷藏温度范围2～8℃，冷冻温度-10～-26℃可设定。</w:t>
            </w:r>
          </w:p>
          <w:p w14:paraId="08DEDBC2">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4、▲保温材料：无CFC聚氨酯发泡，加厚保温层，保温效果好，冷藏发泡门体厚度达≥80mm；冷冻门体厚度达≥90mm，冷冻箱体发泡层厚度达到≥100mm。</w:t>
            </w:r>
          </w:p>
          <w:p w14:paraId="11D0E8C5">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5、▲制冷系统：采用名牌压缩机及风机，双压缩机双系统，冷藏和冷冻室可独立控制运行，节能环保，制冷效果佳；冷藏室风冷，冷冻室直冷。</w:t>
            </w:r>
          </w:p>
          <w:p w14:paraId="792FB8FE">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6、温度显示：高清晰LCD数字温度显示，运行状态一目了然，可根据需求设定高低温报警温度点。冷藏温度和冷冻温度同时显示，冷藏室、冷冻室可分别单独关闭。</w:t>
            </w:r>
          </w:p>
          <w:p w14:paraId="0F60AA8D">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7、▲保护功能：具有开机延时、停机间隔、断电保护等保护功能，确保运行可靠。</w:t>
            </w:r>
          </w:p>
          <w:p w14:paraId="02D15D15">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8、▲箱体配置：冷藏室内≥3层钢丝搁架，间距可调节，满足不同物品置放，易于清擦；冷冻室配置≥3个ABS抽屉，方便物品分类存放。</w:t>
            </w:r>
          </w:p>
          <w:p w14:paraId="6B9A7771">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9、安全防护：门体带暗锁设计，可加配锁扣增加外挂锁。</w:t>
            </w:r>
          </w:p>
          <w:p w14:paraId="127F2C2E">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10、报警功能：具有高低温报警、传感故障报警等多种报警功能。</w:t>
            </w:r>
          </w:p>
          <w:p w14:paraId="75B90CF6">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11、▲测试孔：冷藏室冷冻室各标配≥1个测试孔，方便用户测试使用。</w:t>
            </w:r>
          </w:p>
          <w:p w14:paraId="69B0A9A5">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12、服务保障：省内有维修网点，维修响应时间为2小时内，市区24小时抵达到单位排除故障。</w:t>
            </w:r>
          </w:p>
          <w:p w14:paraId="229B96E0">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13、制造商资质：制造商需通过ISO9001、ISO13485、ISO14001、ISO45001、ISO27001、ISO20000等资质认证。</w:t>
            </w:r>
          </w:p>
          <w:p w14:paraId="45F00494">
            <w:pPr>
              <w:adjustRightInd w:val="0"/>
              <w:snapToGrid w:val="0"/>
              <w:spacing w:line="360" w:lineRule="exact"/>
              <w:ind w:left="11" w:leftChars="0" w:hanging="11" w:hangingChars="5"/>
              <w:rPr>
                <w:rFonts w:hint="eastAsia" w:ascii="仿宋" w:hAnsi="仿宋" w:eastAsia="仿宋" w:cs="仿宋"/>
                <w:sz w:val="22"/>
                <w:szCs w:val="22"/>
              </w:rPr>
            </w:pPr>
            <w:r>
              <w:rPr>
                <w:rFonts w:hint="eastAsia" w:ascii="仿宋" w:hAnsi="仿宋" w:eastAsia="仿宋" w:cs="仿宋"/>
                <w:sz w:val="22"/>
                <w:szCs w:val="22"/>
              </w:rPr>
              <w:t>14、保修期：提供由制造商出具的一年无忧换，五年免费质保服务承诺函。</w:t>
            </w:r>
          </w:p>
        </w:tc>
      </w:tr>
      <w:tr w14:paraId="6D15A4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69388CA7">
            <w:pPr>
              <w:jc w:val="center"/>
              <w:rPr>
                <w:rFonts w:hint="eastAsia" w:ascii="仿宋" w:hAnsi="仿宋" w:eastAsia="仿宋" w:cs="仿宋"/>
                <w:b/>
                <w:bCs/>
                <w:sz w:val="22"/>
                <w:szCs w:val="22"/>
              </w:rPr>
            </w:pPr>
            <w:r>
              <w:rPr>
                <w:rFonts w:hint="eastAsia" w:ascii="仿宋" w:hAnsi="仿宋" w:eastAsia="仿宋" w:cs="仿宋"/>
                <w:kern w:val="0"/>
                <w:sz w:val="22"/>
                <w:szCs w:val="22"/>
                <w:lang w:val="en-US" w:eastAsia="zh-CN"/>
              </w:rPr>
              <w:t>12</w:t>
            </w:r>
          </w:p>
        </w:tc>
        <w:tc>
          <w:tcPr>
            <w:tcW w:w="528" w:type="pct"/>
            <w:tcBorders>
              <w:top w:val="single" w:color="auto" w:sz="4" w:space="0"/>
              <w:left w:val="single" w:color="auto" w:sz="4" w:space="0"/>
              <w:bottom w:val="single" w:color="auto" w:sz="4" w:space="0"/>
              <w:right w:val="single" w:color="auto" w:sz="4" w:space="0"/>
            </w:tcBorders>
            <w:vAlign w:val="center"/>
          </w:tcPr>
          <w:p w14:paraId="2A9DF8B4">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微量冷冻离心机</w:t>
            </w:r>
          </w:p>
        </w:tc>
        <w:tc>
          <w:tcPr>
            <w:tcW w:w="455" w:type="pct"/>
            <w:tcBorders>
              <w:top w:val="single" w:color="auto" w:sz="4" w:space="0"/>
              <w:left w:val="single" w:color="auto" w:sz="4" w:space="0"/>
              <w:bottom w:val="single" w:color="auto" w:sz="4" w:space="0"/>
              <w:right w:val="single" w:color="auto" w:sz="4" w:space="0"/>
            </w:tcBorders>
            <w:vAlign w:val="center"/>
          </w:tcPr>
          <w:p w14:paraId="75D27608">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1台</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76A49D5E">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瑞沃德M1324R</w:t>
            </w:r>
            <w:r>
              <w:rPr>
                <w:rFonts w:hint="eastAsia" w:ascii="仿宋" w:hAnsi="仿宋" w:eastAsia="仿宋" w:cs="仿宋"/>
                <w:kern w:val="0"/>
                <w:szCs w:val="21"/>
                <w:lang w:eastAsia="zh-CN"/>
              </w:rPr>
              <w:t>、</w:t>
            </w:r>
          </w:p>
          <w:p w14:paraId="21E6F6B3">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湖南可成GTR116C</w:t>
            </w:r>
            <w:r>
              <w:rPr>
                <w:rFonts w:hint="eastAsia" w:ascii="仿宋" w:hAnsi="仿宋" w:eastAsia="仿宋" w:cs="仿宋"/>
                <w:kern w:val="0"/>
                <w:szCs w:val="21"/>
                <w:lang w:eastAsia="zh-CN"/>
              </w:rPr>
              <w:t>、</w:t>
            </w:r>
            <w:r>
              <w:rPr>
                <w:rFonts w:hint="eastAsia" w:ascii="仿宋" w:hAnsi="仿宋" w:eastAsia="仿宋" w:cs="仿宋"/>
                <w:kern w:val="0"/>
                <w:szCs w:val="21"/>
              </w:rPr>
              <w:t>美菱CT-G185R</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493DB465">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 xml:space="preserve">1、最高转速不低于15,800rpm；最大离心力不低于23,444× g；最大容量：10x 5 mL </w:t>
            </w:r>
          </w:p>
          <w:p w14:paraId="4DC10380">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2、不少于10档加速度升降设置，满足不同样本的梯度离心需求</w:t>
            </w:r>
          </w:p>
          <w:p w14:paraId="6DCF5CBA">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3、单独的瞬时离心按键，按住即可根据所需转速离心，可连续离心</w:t>
            </w:r>
          </w:p>
          <w:p w14:paraId="3B96C9B4">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4、独特双散热系统，保证最高转速下的样本稳定离心</w:t>
            </w:r>
          </w:p>
          <w:p w14:paraId="36B0682B">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5、离心盖锁技术，轻松锁盖；离心结束后可自动开盖。</w:t>
            </w:r>
          </w:p>
          <w:p w14:paraId="0A623314">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6、具有定速计时功能，可在达到预设转速时才开始计时，确保离心可重复性</w:t>
            </w:r>
          </w:p>
          <w:p w14:paraId="0E96F924">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7、转子材料采用航空级别的铝合金，持久耐用，安全系数高</w:t>
            </w:r>
          </w:p>
          <w:p w14:paraId="74CEB4C7">
            <w:pPr>
              <w:adjustRightInd w:val="0"/>
              <w:snapToGrid w:val="0"/>
              <w:spacing w:line="360" w:lineRule="exact"/>
              <w:ind w:left="10" w:hanging="11" w:hangingChars="5"/>
              <w:rPr>
                <w:rFonts w:hint="eastAsia" w:ascii="仿宋" w:hAnsi="仿宋" w:eastAsia="仿宋" w:cs="仿宋"/>
                <w:sz w:val="22"/>
                <w:szCs w:val="22"/>
              </w:rPr>
            </w:pPr>
            <w:r>
              <w:rPr>
                <w:rFonts w:hint="eastAsia" w:ascii="仿宋" w:hAnsi="仿宋" w:eastAsia="仿宋" w:cs="仿宋"/>
                <w:sz w:val="22"/>
                <w:szCs w:val="22"/>
              </w:rPr>
              <w:t>8、所有转子均可高温高压灭菌(121°C条件下≤20分钟)</w:t>
            </w:r>
          </w:p>
          <w:p w14:paraId="4AF8C5D3">
            <w:pPr>
              <w:adjustRightInd w:val="0"/>
              <w:snapToGrid w:val="0"/>
              <w:spacing w:line="360" w:lineRule="exact"/>
              <w:ind w:left="11" w:leftChars="0" w:hanging="11" w:hangingChars="5"/>
              <w:rPr>
                <w:rFonts w:hint="eastAsia" w:ascii="仿宋" w:hAnsi="仿宋" w:eastAsia="仿宋" w:cs="仿宋"/>
                <w:sz w:val="22"/>
                <w:szCs w:val="22"/>
              </w:rPr>
            </w:pPr>
            <w:r>
              <w:rPr>
                <w:rFonts w:hint="eastAsia" w:ascii="仿宋" w:hAnsi="仿宋" w:eastAsia="仿宋" w:cs="仿宋"/>
                <w:sz w:val="22"/>
                <w:szCs w:val="22"/>
              </w:rPr>
              <w:t>9、触摸操作与按键相结合，简化操作</w:t>
            </w:r>
          </w:p>
        </w:tc>
      </w:tr>
      <w:tr w14:paraId="25A7FE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38FF9625">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13</w:t>
            </w:r>
          </w:p>
        </w:tc>
        <w:tc>
          <w:tcPr>
            <w:tcW w:w="528" w:type="pct"/>
            <w:tcBorders>
              <w:top w:val="single" w:color="auto" w:sz="4" w:space="0"/>
              <w:left w:val="single" w:color="auto" w:sz="4" w:space="0"/>
              <w:bottom w:val="single" w:color="auto" w:sz="4" w:space="0"/>
              <w:right w:val="single" w:color="auto" w:sz="4" w:space="0"/>
            </w:tcBorders>
            <w:vAlign w:val="center"/>
          </w:tcPr>
          <w:p w14:paraId="712BE1CC">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单通道电子移液器</w:t>
            </w:r>
          </w:p>
        </w:tc>
        <w:tc>
          <w:tcPr>
            <w:tcW w:w="455" w:type="pct"/>
            <w:tcBorders>
              <w:top w:val="single" w:color="auto" w:sz="4" w:space="0"/>
              <w:left w:val="single" w:color="auto" w:sz="4" w:space="0"/>
              <w:bottom w:val="single" w:color="auto" w:sz="4" w:space="0"/>
              <w:right w:val="single" w:color="auto" w:sz="4" w:space="0"/>
            </w:tcBorders>
            <w:vAlign w:val="center"/>
          </w:tcPr>
          <w:p w14:paraId="24C00AFA">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1支</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0552C006">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BRAND/Transferpette® electronic</w:t>
            </w:r>
            <w:r>
              <w:rPr>
                <w:rFonts w:hint="eastAsia" w:ascii="仿宋" w:hAnsi="仿宋" w:eastAsia="仿宋" w:cs="仿宋"/>
                <w:kern w:val="0"/>
                <w:szCs w:val="21"/>
                <w:lang w:eastAsia="zh-CN"/>
              </w:rPr>
              <w:t>、</w:t>
            </w:r>
          </w:p>
          <w:p w14:paraId="7086B300">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rPr>
              <w:t>Sartorius / Picus® 2</w:t>
            </w:r>
            <w:r>
              <w:rPr>
                <w:rFonts w:hint="eastAsia" w:ascii="仿宋" w:hAnsi="仿宋" w:eastAsia="仿宋" w:cs="仿宋"/>
                <w:lang w:eastAsia="zh-CN"/>
              </w:rPr>
              <w:t>、</w:t>
            </w:r>
          </w:p>
          <w:p w14:paraId="140F700F">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Hirschmann/Labopette®</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7D08699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1.TUV人体工程学认证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2.独立可调节指托</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3.操作简单，只需4个按钮即可完成所有操作</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4.▲五项实用操作程序:</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 – Pipetting (移液模式)</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 – Reverse pipetting (反相移液模式)</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 – Mixing (混合模式)</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 – GEL-Electrophoresis (胶电泳模式)：1000 μl （不含）以下型号</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 – Dispensing (连续分液模式)</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5.下半支无需额外拆卸可 121 °C 高压湿热灭菌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6.一次充电可用于4000次移液</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7.电池再生功能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8.▲Easy Calibration 易校准技术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9.规格2- 20 µl</w:t>
            </w:r>
          </w:p>
        </w:tc>
      </w:tr>
      <w:tr w14:paraId="6C957F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19F68AC4">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14</w:t>
            </w:r>
          </w:p>
        </w:tc>
        <w:tc>
          <w:tcPr>
            <w:tcW w:w="528" w:type="pct"/>
            <w:tcBorders>
              <w:top w:val="single" w:color="auto" w:sz="4" w:space="0"/>
              <w:left w:val="single" w:color="auto" w:sz="4" w:space="0"/>
              <w:bottom w:val="single" w:color="auto" w:sz="4" w:space="0"/>
              <w:right w:val="single" w:color="auto" w:sz="4" w:space="0"/>
            </w:tcBorders>
            <w:vAlign w:val="center"/>
          </w:tcPr>
          <w:p w14:paraId="7216187E">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多通道电子移液器</w:t>
            </w:r>
          </w:p>
        </w:tc>
        <w:tc>
          <w:tcPr>
            <w:tcW w:w="455" w:type="pct"/>
            <w:tcBorders>
              <w:top w:val="single" w:color="auto" w:sz="4" w:space="0"/>
              <w:left w:val="single" w:color="auto" w:sz="4" w:space="0"/>
              <w:bottom w:val="single" w:color="auto" w:sz="4" w:space="0"/>
              <w:right w:val="single" w:color="auto" w:sz="4" w:space="0"/>
            </w:tcBorders>
            <w:vAlign w:val="center"/>
          </w:tcPr>
          <w:p w14:paraId="3E7064AB">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1支</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27945A15">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BRAND/Transferpette®-8 electronic</w:t>
            </w:r>
            <w:r>
              <w:rPr>
                <w:rFonts w:hint="eastAsia" w:ascii="仿宋" w:hAnsi="仿宋" w:eastAsia="仿宋" w:cs="仿宋"/>
                <w:kern w:val="0"/>
                <w:szCs w:val="21"/>
                <w:lang w:eastAsia="zh-CN"/>
              </w:rPr>
              <w:t>、</w:t>
            </w:r>
            <w:r>
              <w:rPr>
                <w:rFonts w:hint="eastAsia" w:ascii="仿宋" w:hAnsi="仿宋" w:eastAsia="仿宋" w:cs="仿宋"/>
              </w:rPr>
              <w:t>Sartorius / Picus® 2 8道</w:t>
            </w:r>
            <w:r>
              <w:rPr>
                <w:rFonts w:hint="eastAsia" w:ascii="仿宋" w:hAnsi="仿宋" w:eastAsia="仿宋" w:cs="仿宋"/>
                <w:lang w:eastAsia="zh-CN"/>
              </w:rPr>
              <w:t>、</w:t>
            </w:r>
          </w:p>
          <w:p w14:paraId="67DF5B22">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Hirschmann/Labopette®electronic</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0103C16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1.TUV人体工程学认证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2.独立可调节指托</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3.操作简单，只需4个按钮即可完成所有操作</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4.▲五项实用操作程序</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 – Pipetting (移液模式)</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 – Reverse pipetting (反相移液模式)</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 – Mixing (混合模式)</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 – GEL-Electrophoresis (胶电泳模式)</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 – Dispensing (连续分液模式)</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5.下半支可 360° 自由旋转</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6.下半支无需额外拆卸可 121 °C 高压湿热灭菌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7.独立的吸头锥和密封圈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8.阶梯式吸头脱卸装置显著减少去除吸头的耗力</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9.一次充电可用于4000次移液</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10.电池再生功能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11.▲Easy Calibration 易校准技术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12.规格50 - 1250 µl</w:t>
            </w:r>
          </w:p>
        </w:tc>
      </w:tr>
      <w:tr w14:paraId="7B144B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24564B49">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15</w:t>
            </w:r>
          </w:p>
        </w:tc>
        <w:tc>
          <w:tcPr>
            <w:tcW w:w="528" w:type="pct"/>
            <w:tcBorders>
              <w:top w:val="single" w:color="auto" w:sz="4" w:space="0"/>
              <w:left w:val="single" w:color="auto" w:sz="4" w:space="0"/>
              <w:bottom w:val="single" w:color="auto" w:sz="4" w:space="0"/>
              <w:right w:val="single" w:color="auto" w:sz="4" w:space="0"/>
            </w:tcBorders>
            <w:vAlign w:val="center"/>
          </w:tcPr>
          <w:p w14:paraId="306AECC2">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离心机</w:t>
            </w:r>
          </w:p>
        </w:tc>
        <w:tc>
          <w:tcPr>
            <w:tcW w:w="455" w:type="pct"/>
            <w:tcBorders>
              <w:top w:val="single" w:color="auto" w:sz="4" w:space="0"/>
              <w:left w:val="single" w:color="auto" w:sz="4" w:space="0"/>
              <w:bottom w:val="single" w:color="auto" w:sz="4" w:space="0"/>
              <w:right w:val="single" w:color="auto" w:sz="4" w:space="0"/>
            </w:tcBorders>
            <w:vAlign w:val="center"/>
          </w:tcPr>
          <w:p w14:paraId="655A91E9">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1台</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243F65A3">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四亿/</w:t>
            </w:r>
            <w:r>
              <w:rPr>
                <w:rFonts w:hint="eastAsia" w:ascii="仿宋" w:hAnsi="仿宋" w:eastAsia="仿宋" w:cs="仿宋"/>
              </w:rPr>
              <w:t xml:space="preserve"> </w:t>
            </w:r>
            <w:r>
              <w:rPr>
                <w:rFonts w:hint="eastAsia" w:ascii="仿宋" w:hAnsi="仿宋" w:eastAsia="仿宋" w:cs="仿宋"/>
                <w:kern w:val="0"/>
                <w:szCs w:val="21"/>
              </w:rPr>
              <w:t>ETmini</w:t>
            </w:r>
            <w:r>
              <w:rPr>
                <w:rFonts w:hint="eastAsia" w:ascii="仿宋" w:hAnsi="仿宋" w:eastAsia="仿宋" w:cs="仿宋"/>
                <w:kern w:val="0"/>
                <w:szCs w:val="21"/>
                <w:lang w:eastAsia="zh-CN"/>
              </w:rPr>
              <w:t>、</w:t>
            </w:r>
          </w:p>
          <w:p w14:paraId="27183C11">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赛维尔/MC5000</w:t>
            </w:r>
            <w:r>
              <w:rPr>
                <w:rFonts w:hint="eastAsia" w:ascii="仿宋" w:hAnsi="仿宋" w:eastAsia="仿宋" w:cs="仿宋"/>
                <w:kern w:val="0"/>
                <w:szCs w:val="21"/>
                <w:lang w:eastAsia="zh-CN"/>
              </w:rPr>
              <w:t>、</w:t>
            </w:r>
          </w:p>
          <w:p w14:paraId="1F0298D4">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碧云天/BeyoFuge</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42ECDD3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技术参数                                                                                                               1. 转子承载量：0.2/0.5/1.5/2.0mL 离心管x 6，0.2mL PCR管 x 16，0.2mL PCR 8联管 x 2</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 ▲最高转速[rpm]：5400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 最大相对离心力[xg]：2000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 运行模式：连续运行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 驱动电机：直流电机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 低噪音运行：≤50分贝</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 低工作电压和开门制动系统，安全性高</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8. 封闭式设计降低了液体溅入设备的风险</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9. ▲优异的动平衡，即使转子两侧不平衡也能保持稳定运行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10. ▲卡入式设计无需工具即可轻松更换转子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 配备2个转子及适配器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12. 输入：100-240VAC，50/60HZ</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13. 输出：24VDC, 2A</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14. 尺寸：6.9”x 5.5”</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15. 重量：1.85kg</w:t>
            </w:r>
          </w:p>
          <w:p w14:paraId="5AD8BE3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p>
          <w:p w14:paraId="7EA0D6FD">
            <w:pPr>
              <w:keepNext w:val="0"/>
              <w:keepLines w:val="0"/>
              <w:widowControl/>
              <w:suppressLineNumbers w:val="0"/>
              <w:jc w:val="left"/>
              <w:textAlignment w:val="center"/>
              <w:rPr>
                <w:rFonts w:hint="eastAsia" w:ascii="仿宋" w:hAnsi="仿宋" w:eastAsia="仿宋" w:cs="仿宋"/>
                <w:color w:val="000000"/>
                <w:kern w:val="0"/>
                <w:sz w:val="22"/>
                <w:szCs w:val="22"/>
                <w:lang w:bidi="ar"/>
              </w:rPr>
            </w:pPr>
          </w:p>
        </w:tc>
      </w:tr>
      <w:tr w14:paraId="1C067D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38205B7C">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16</w:t>
            </w:r>
          </w:p>
        </w:tc>
        <w:tc>
          <w:tcPr>
            <w:tcW w:w="528" w:type="pct"/>
            <w:tcBorders>
              <w:top w:val="single" w:color="auto" w:sz="4" w:space="0"/>
              <w:left w:val="single" w:color="auto" w:sz="4" w:space="0"/>
              <w:bottom w:val="single" w:color="auto" w:sz="4" w:space="0"/>
              <w:right w:val="single" w:color="auto" w:sz="4" w:space="0"/>
            </w:tcBorders>
            <w:vAlign w:val="center"/>
          </w:tcPr>
          <w:p w14:paraId="21035667">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涡旋混匀器</w:t>
            </w:r>
          </w:p>
        </w:tc>
        <w:tc>
          <w:tcPr>
            <w:tcW w:w="455" w:type="pct"/>
            <w:tcBorders>
              <w:top w:val="single" w:color="auto" w:sz="4" w:space="0"/>
              <w:left w:val="single" w:color="auto" w:sz="4" w:space="0"/>
              <w:bottom w:val="single" w:color="auto" w:sz="4" w:space="0"/>
              <w:right w:val="single" w:color="auto" w:sz="4" w:space="0"/>
            </w:tcBorders>
            <w:vAlign w:val="center"/>
          </w:tcPr>
          <w:p w14:paraId="0326C49C">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1台</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4A5B3E10">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四亿CubicD</w:t>
            </w:r>
            <w:r>
              <w:rPr>
                <w:rFonts w:hint="eastAsia" w:ascii="仿宋" w:hAnsi="仿宋" w:eastAsia="仿宋" w:cs="仿宋"/>
                <w:kern w:val="0"/>
                <w:szCs w:val="21"/>
                <w:lang w:eastAsia="zh-CN"/>
              </w:rPr>
              <w:t>、</w:t>
            </w:r>
          </w:p>
          <w:p w14:paraId="2871B5E1">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广东安胜/V8</w:t>
            </w:r>
            <w:r>
              <w:rPr>
                <w:rFonts w:hint="eastAsia" w:ascii="仿宋" w:hAnsi="仿宋" w:eastAsia="仿宋" w:cs="仿宋"/>
                <w:kern w:val="0"/>
                <w:szCs w:val="21"/>
                <w:lang w:eastAsia="zh-CN"/>
              </w:rPr>
              <w:t>、</w:t>
            </w:r>
          </w:p>
          <w:p w14:paraId="05413D41">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苏州捷美/MixPlus</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6B05980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技术参数                                                                                                               1.操作模式：连续/点动操作/定时操作</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2.振荡方式：圆周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3.▲轨道直径：6毫米</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4.▲速度范围：400-3000转/分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5.▲速度显示：LED液晶显示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6.无刷电机和坚固的铁/铝铸件底座</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7.低工作电压（12V），全面保护</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8.完美的动平衡设计，可消除混音时的任何晃动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9.具有不同可互换附件的各种应用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10.电源通过 CE、cULus、CCC、SAA 和 FCC 认证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11.允许的环境温度：5-40℃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12.允许相对湿度：80%RH</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13.防护等级符合 DIN EN 60529：IP21</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14.电压 ：100-240VAC</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15.功率 ：36W</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16.频率 ：50/60Hz</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17.尺寸（宽 x 高 x 深）：107x146x166mm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18.重量 ：3kg</w:t>
            </w:r>
          </w:p>
        </w:tc>
      </w:tr>
      <w:tr w14:paraId="4BC2FB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2B048E76">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17</w:t>
            </w:r>
          </w:p>
        </w:tc>
        <w:tc>
          <w:tcPr>
            <w:tcW w:w="528" w:type="pct"/>
            <w:tcBorders>
              <w:top w:val="single" w:color="auto" w:sz="4" w:space="0"/>
              <w:left w:val="single" w:color="auto" w:sz="4" w:space="0"/>
              <w:bottom w:val="single" w:color="auto" w:sz="4" w:space="0"/>
              <w:right w:val="single" w:color="auto" w:sz="4" w:space="0"/>
            </w:tcBorders>
            <w:vAlign w:val="center"/>
          </w:tcPr>
          <w:p w14:paraId="01477F89">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60L柱式光生物反应器</w:t>
            </w:r>
          </w:p>
        </w:tc>
        <w:tc>
          <w:tcPr>
            <w:tcW w:w="455" w:type="pct"/>
            <w:tcBorders>
              <w:top w:val="single" w:color="auto" w:sz="4" w:space="0"/>
              <w:left w:val="single" w:color="auto" w:sz="4" w:space="0"/>
              <w:bottom w:val="single" w:color="auto" w:sz="4" w:space="0"/>
              <w:right w:val="single" w:color="auto" w:sz="4" w:space="0"/>
            </w:tcBorders>
            <w:vAlign w:val="center"/>
          </w:tcPr>
          <w:p w14:paraId="72E21718">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1台</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3A75BBD3">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温州光语/GY-23ZZ-60L</w:t>
            </w:r>
            <w:r>
              <w:rPr>
                <w:rFonts w:hint="eastAsia" w:ascii="仿宋" w:hAnsi="仿宋" w:eastAsia="仿宋" w:cs="仿宋"/>
                <w:kern w:val="0"/>
                <w:szCs w:val="21"/>
                <w:lang w:eastAsia="zh-CN"/>
              </w:rPr>
              <w:t>、</w:t>
            </w:r>
          </w:p>
          <w:p w14:paraId="341F6475">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辽宁科恩/KE60LZS</w:t>
            </w:r>
            <w:r>
              <w:rPr>
                <w:rFonts w:hint="eastAsia" w:ascii="仿宋" w:hAnsi="仿宋" w:eastAsia="仿宋" w:cs="仿宋"/>
                <w:kern w:val="0"/>
                <w:szCs w:val="21"/>
                <w:lang w:eastAsia="zh-CN"/>
              </w:rPr>
              <w:t>、</w:t>
            </w:r>
          </w:p>
          <w:p w14:paraId="3A094AFD">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rPr>
            </w:pPr>
            <w:r>
              <w:rPr>
                <w:rFonts w:hint="eastAsia" w:ascii="仿宋" w:hAnsi="仿宋" w:eastAsia="仿宋" w:cs="仿宋"/>
                <w:kern w:val="0"/>
                <w:szCs w:val="21"/>
              </w:rPr>
              <w:t>藻金/</w:t>
            </w:r>
          </w:p>
          <w:p w14:paraId="51154AC2">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ZJZS60L-01</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7667ABA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1.有机玻璃材质，容量60L，外尺寸为直径300mm，高度1米</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2.采用塑料材质电箱，尺寸为380m*280m*130m，内部安装控制电路，电性能:AC220V，可24小时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运行，使用环境:建议室内使用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3.外置三面LED光源，亮度可调，可定时控制开和关</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4.外置射流管+进气口，用于液体搅拌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5.数显温控加热系统配加热棒，保持恒温，供电电压AC220V，功率200W</w:t>
            </w:r>
          </w:p>
        </w:tc>
      </w:tr>
      <w:tr w14:paraId="2319FF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6779D55C">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18</w:t>
            </w:r>
          </w:p>
        </w:tc>
        <w:tc>
          <w:tcPr>
            <w:tcW w:w="528" w:type="pct"/>
            <w:tcBorders>
              <w:top w:val="single" w:color="auto" w:sz="4" w:space="0"/>
              <w:left w:val="single" w:color="auto" w:sz="4" w:space="0"/>
              <w:bottom w:val="single" w:color="auto" w:sz="4" w:space="0"/>
              <w:right w:val="single" w:color="auto" w:sz="4" w:space="0"/>
            </w:tcBorders>
            <w:vAlign w:val="center"/>
          </w:tcPr>
          <w:p w14:paraId="6CC19A39">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真空控制器</w:t>
            </w:r>
          </w:p>
        </w:tc>
        <w:tc>
          <w:tcPr>
            <w:tcW w:w="455" w:type="pct"/>
            <w:tcBorders>
              <w:top w:val="single" w:color="auto" w:sz="4" w:space="0"/>
              <w:left w:val="single" w:color="auto" w:sz="4" w:space="0"/>
              <w:bottom w:val="single" w:color="auto" w:sz="4" w:space="0"/>
              <w:right w:val="single" w:color="auto" w:sz="4" w:space="0"/>
            </w:tcBorders>
            <w:vAlign w:val="center"/>
          </w:tcPr>
          <w:p w14:paraId="6791720B">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4台</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4391B19A">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爱科/ VC4000</w:t>
            </w:r>
            <w:r>
              <w:rPr>
                <w:rFonts w:hint="eastAsia" w:ascii="仿宋" w:hAnsi="仿宋" w:eastAsia="仿宋" w:cs="仿宋"/>
                <w:kern w:val="0"/>
                <w:szCs w:val="21"/>
                <w:lang w:eastAsia="zh-CN"/>
              </w:rPr>
              <w:t>、</w:t>
            </w:r>
          </w:p>
          <w:p w14:paraId="772ACCA1">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莱宝/ center one</w:t>
            </w:r>
            <w:r>
              <w:rPr>
                <w:rFonts w:hint="eastAsia" w:ascii="仿宋" w:hAnsi="仿宋" w:eastAsia="仿宋" w:cs="仿宋"/>
                <w:kern w:val="0"/>
                <w:szCs w:val="21"/>
                <w:lang w:eastAsia="zh-CN"/>
              </w:rPr>
              <w:t>、</w:t>
            </w:r>
          </w:p>
          <w:p w14:paraId="2CD2E324">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大龙/VC100</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4032F36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额定电压：交流220V，50Hz</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额定功率：100W</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控制范围：0~1000mbar</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控制精度：0~30mbar可调</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控制真空泵：具备控制真空泵开启和关闭功能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运行方式：定值运行和程序运行（最大5段时定时运行模式）</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工作温度：室温~45℃</w:t>
            </w:r>
          </w:p>
        </w:tc>
      </w:tr>
      <w:tr w14:paraId="502E96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35CCF83B">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19</w:t>
            </w:r>
          </w:p>
        </w:tc>
        <w:tc>
          <w:tcPr>
            <w:tcW w:w="528" w:type="pct"/>
            <w:tcBorders>
              <w:top w:val="single" w:color="auto" w:sz="4" w:space="0"/>
              <w:left w:val="single" w:color="auto" w:sz="4" w:space="0"/>
              <w:bottom w:val="single" w:color="auto" w:sz="4" w:space="0"/>
              <w:right w:val="single" w:color="auto" w:sz="4" w:space="0"/>
            </w:tcBorders>
            <w:vAlign w:val="center"/>
          </w:tcPr>
          <w:p w14:paraId="5DF85751">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冰箱</w:t>
            </w:r>
          </w:p>
        </w:tc>
        <w:tc>
          <w:tcPr>
            <w:tcW w:w="455" w:type="pct"/>
            <w:tcBorders>
              <w:top w:val="single" w:color="auto" w:sz="4" w:space="0"/>
              <w:left w:val="single" w:color="auto" w:sz="4" w:space="0"/>
              <w:bottom w:val="single" w:color="auto" w:sz="4" w:space="0"/>
              <w:right w:val="single" w:color="auto" w:sz="4" w:space="0"/>
            </w:tcBorders>
            <w:vAlign w:val="center"/>
          </w:tcPr>
          <w:p w14:paraId="1CF80262">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1台</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19F58D3A">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容声/BCD-526WD1MPA</w:t>
            </w:r>
            <w:r>
              <w:rPr>
                <w:rFonts w:hint="eastAsia" w:ascii="仿宋" w:hAnsi="仿宋" w:eastAsia="仿宋" w:cs="仿宋"/>
                <w:kern w:val="0"/>
                <w:szCs w:val="21"/>
                <w:lang w:eastAsia="zh-CN"/>
              </w:rPr>
              <w:t>、</w:t>
            </w:r>
          </w:p>
          <w:p w14:paraId="3BC5656F">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海尔/BCD-509WGHFD19X8</w:t>
            </w:r>
            <w:r>
              <w:rPr>
                <w:rFonts w:hint="eastAsia" w:ascii="仿宋" w:hAnsi="仿宋" w:eastAsia="仿宋" w:cs="仿宋"/>
                <w:kern w:val="0"/>
                <w:szCs w:val="21"/>
                <w:lang w:eastAsia="zh-CN"/>
              </w:rPr>
              <w:t>、</w:t>
            </w:r>
          </w:p>
          <w:p w14:paraId="6116C42A">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美的/BCD-553WKGPM</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7FE2FFE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显示类型：LED显示；散热方式：两侧散热；制冷循环：双循环；能效等级：一级能效</w:t>
            </w:r>
          </w:p>
        </w:tc>
      </w:tr>
      <w:tr w14:paraId="352EA1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183EFC9A">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20</w:t>
            </w:r>
          </w:p>
        </w:tc>
        <w:tc>
          <w:tcPr>
            <w:tcW w:w="528" w:type="pct"/>
            <w:tcBorders>
              <w:top w:val="single" w:color="auto" w:sz="4" w:space="0"/>
              <w:left w:val="single" w:color="auto" w:sz="4" w:space="0"/>
              <w:bottom w:val="single" w:color="auto" w:sz="4" w:space="0"/>
              <w:right w:val="single" w:color="auto" w:sz="4" w:space="0"/>
            </w:tcBorders>
            <w:vAlign w:val="center"/>
          </w:tcPr>
          <w:p w14:paraId="018C495B">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真空隔膜泵</w:t>
            </w:r>
          </w:p>
        </w:tc>
        <w:tc>
          <w:tcPr>
            <w:tcW w:w="455" w:type="pct"/>
            <w:tcBorders>
              <w:top w:val="single" w:color="auto" w:sz="4" w:space="0"/>
              <w:left w:val="single" w:color="auto" w:sz="4" w:space="0"/>
              <w:bottom w:val="single" w:color="auto" w:sz="4" w:space="0"/>
              <w:right w:val="single" w:color="auto" w:sz="4" w:space="0"/>
            </w:tcBorders>
            <w:vAlign w:val="center"/>
          </w:tcPr>
          <w:p w14:paraId="70E199FC">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1台</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0FF9B065">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上海一恒/VB-40F</w:t>
            </w:r>
            <w:r>
              <w:rPr>
                <w:rFonts w:hint="eastAsia" w:ascii="仿宋" w:hAnsi="仿宋" w:eastAsia="仿宋" w:cs="仿宋"/>
                <w:kern w:val="0"/>
                <w:szCs w:val="21"/>
                <w:lang w:eastAsia="zh-CN"/>
              </w:rPr>
              <w:t>、</w:t>
            </w:r>
          </w:p>
          <w:p w14:paraId="7FABCDC8">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力辰/LC-85DL</w:t>
            </w:r>
            <w:r>
              <w:rPr>
                <w:rFonts w:hint="eastAsia" w:ascii="仿宋" w:hAnsi="仿宋" w:eastAsia="仿宋" w:cs="仿宋"/>
                <w:kern w:val="0"/>
                <w:szCs w:val="21"/>
                <w:lang w:eastAsia="zh-CN"/>
              </w:rPr>
              <w:t>、</w:t>
            </w:r>
          </w:p>
          <w:p w14:paraId="3BE2475A">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北京大龙/C410</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1DD6A47A">
            <w:pPr>
              <w:keepNext w:val="0"/>
              <w:keepLines w:val="0"/>
              <w:widowControl/>
              <w:suppressLineNumbers w:val="0"/>
              <w:jc w:val="left"/>
              <w:textAlignment w:val="center"/>
              <w:rPr>
                <w:rFonts w:hint="eastAsia" w:ascii="仿宋" w:hAnsi="仿宋" w:eastAsia="仿宋" w:cs="仿宋"/>
                <w:color w:val="000000"/>
                <w:kern w:val="0"/>
                <w:sz w:val="22"/>
                <w:szCs w:val="22"/>
                <w:lang w:bidi="ar"/>
              </w:rPr>
            </w:pPr>
            <w:r>
              <w:rPr>
                <w:rFonts w:hint="eastAsia" w:ascii="仿宋" w:hAnsi="仿宋" w:eastAsia="仿宋" w:cs="仿宋"/>
                <w:i w:val="0"/>
                <w:iCs w:val="0"/>
                <w:color w:val="000000"/>
                <w:kern w:val="0"/>
                <w:sz w:val="22"/>
                <w:szCs w:val="22"/>
                <w:u w:val="none"/>
                <w:lang w:val="en-US" w:eastAsia="zh-CN" w:bidi="ar"/>
              </w:rPr>
              <w:t>最大流量： 35 L/min</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泵头类型： 双级泵(PTFE材质泵头)</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极限真空度： 15~20mbar</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最大操作压力： 1bar</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真空度调节： 显示实时真空度，可调节真空度</w:t>
            </w:r>
          </w:p>
        </w:tc>
      </w:tr>
      <w:tr w14:paraId="7F3FE4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778724FE">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21</w:t>
            </w:r>
          </w:p>
        </w:tc>
        <w:tc>
          <w:tcPr>
            <w:tcW w:w="528" w:type="pct"/>
            <w:tcBorders>
              <w:top w:val="single" w:color="auto" w:sz="4" w:space="0"/>
              <w:left w:val="single" w:color="auto" w:sz="4" w:space="0"/>
              <w:bottom w:val="single" w:color="auto" w:sz="4" w:space="0"/>
              <w:right w:val="single" w:color="auto" w:sz="4" w:space="0"/>
            </w:tcBorders>
            <w:vAlign w:val="center"/>
          </w:tcPr>
          <w:p w14:paraId="10E12FE2">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大流量隔膜式气泵</w:t>
            </w:r>
          </w:p>
        </w:tc>
        <w:tc>
          <w:tcPr>
            <w:tcW w:w="455" w:type="pct"/>
            <w:tcBorders>
              <w:top w:val="single" w:color="auto" w:sz="4" w:space="0"/>
              <w:left w:val="single" w:color="auto" w:sz="4" w:space="0"/>
              <w:bottom w:val="single" w:color="auto" w:sz="4" w:space="0"/>
              <w:right w:val="single" w:color="auto" w:sz="4" w:space="0"/>
            </w:tcBorders>
            <w:vAlign w:val="center"/>
          </w:tcPr>
          <w:p w14:paraId="17580469">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2台</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56457FF3">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广东海利/HAP200</w:t>
            </w:r>
            <w:r>
              <w:rPr>
                <w:rFonts w:hint="eastAsia" w:ascii="仿宋" w:hAnsi="仿宋" w:eastAsia="仿宋" w:cs="仿宋"/>
                <w:kern w:val="0"/>
                <w:szCs w:val="21"/>
                <w:lang w:eastAsia="zh-CN"/>
              </w:rPr>
              <w:t>、</w:t>
            </w:r>
          </w:p>
          <w:p w14:paraId="614D743C">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森森/CAP120</w:t>
            </w:r>
            <w:r>
              <w:rPr>
                <w:rFonts w:hint="eastAsia" w:ascii="仿宋" w:hAnsi="仿宋" w:eastAsia="仿宋" w:cs="仿宋"/>
                <w:kern w:val="0"/>
                <w:szCs w:val="21"/>
                <w:lang w:eastAsia="zh-CN"/>
              </w:rPr>
              <w:t>、</w:t>
            </w:r>
          </w:p>
          <w:p w14:paraId="338690AC">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楚定/XYA-2000</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766BFAA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电压220-240V；功率160W；排气量:200L/min；尺寸:36x19x23cm</w:t>
            </w:r>
          </w:p>
        </w:tc>
      </w:tr>
      <w:tr w14:paraId="655563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61E85A3B">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22</w:t>
            </w:r>
          </w:p>
        </w:tc>
        <w:tc>
          <w:tcPr>
            <w:tcW w:w="528" w:type="pct"/>
            <w:tcBorders>
              <w:top w:val="single" w:color="auto" w:sz="4" w:space="0"/>
              <w:left w:val="single" w:color="auto" w:sz="4" w:space="0"/>
              <w:bottom w:val="single" w:color="auto" w:sz="4" w:space="0"/>
              <w:right w:val="single" w:color="auto" w:sz="4" w:space="0"/>
            </w:tcBorders>
            <w:vAlign w:val="center"/>
          </w:tcPr>
          <w:p w14:paraId="37D952F1">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万分之一分析天平</w:t>
            </w:r>
          </w:p>
        </w:tc>
        <w:tc>
          <w:tcPr>
            <w:tcW w:w="455" w:type="pct"/>
            <w:tcBorders>
              <w:top w:val="single" w:color="auto" w:sz="4" w:space="0"/>
              <w:left w:val="single" w:color="auto" w:sz="4" w:space="0"/>
              <w:bottom w:val="single" w:color="auto" w:sz="4" w:space="0"/>
              <w:right w:val="single" w:color="auto" w:sz="4" w:space="0"/>
            </w:tcBorders>
            <w:vAlign w:val="center"/>
          </w:tcPr>
          <w:p w14:paraId="30131EF6">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1台</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7CE59013">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普利赛斯/LS320A</w:t>
            </w:r>
            <w:r>
              <w:rPr>
                <w:rFonts w:hint="eastAsia" w:ascii="仿宋" w:hAnsi="仿宋" w:eastAsia="仿宋" w:cs="仿宋"/>
                <w:kern w:val="0"/>
                <w:szCs w:val="21"/>
                <w:lang w:eastAsia="zh-CN"/>
              </w:rPr>
              <w:t>、</w:t>
            </w:r>
          </w:p>
          <w:p w14:paraId="5B38DF43">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赛多利斯/BCE323i-1x</w:t>
            </w:r>
            <w:r>
              <w:rPr>
                <w:rFonts w:hint="eastAsia" w:ascii="仿宋" w:hAnsi="仿宋" w:eastAsia="仿宋" w:cs="仿宋"/>
                <w:kern w:val="0"/>
                <w:szCs w:val="21"/>
                <w:lang w:eastAsia="zh-CN"/>
              </w:rPr>
              <w:t>、</w:t>
            </w:r>
          </w:p>
          <w:p w14:paraId="2FB0EC48">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梅特勒/MS303TS</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44AEC66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一、技术指标：</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1)▲最大称量值：320（g）</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2)读数精度：0.1（mg）</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3)重复性典型值： 0.08 (mg)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4)线性典型值: 0.08 (mg)</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5)响应时间：≤3s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6)秤盘尺寸：∮90mm高防腐蚀性不锈钢材料，秤盘表面光滑便于清洗</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7)外形尺寸：(WxLxH) 228x381x345 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8)风罩尺寸：214x185x 258mm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9)▲灵敏度时间漂移：（10—30℃）1.5ppm/℃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10)工作温度范围：5-40℃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11)工作电压：100~240V AC50~60HZ ±10%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二、 仪器特点：</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1)采用简单易用5键多功能控制面板，天平主机全部采用高强度铝合金材料使用寿命更长。抗静电能力更优</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2)标配RS232，USB串口</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3)▲外部校准功能，ICM系统具有自动侦别不同砝码重量功能，用户校准时更方便更智能（验收时提供视频证明资料）。</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4)▲可选无线蓝牙键盘数据传输，电脑和手机接收数据，无需额外安装软件，无需单独供电。</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5)▲仪器可实现自动10次重复性误差测试，计算出标准偏差显示在屏幕上（验收时提供证明资料）</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6)▲天平生产中采用温度补偿及Robot机器人测试等核心工艺，确保精度和性能稳定（验收时需提供质监院对生产厂家温补相关校准证书）；</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7)▲可实现多台天平智能管理功能（＞50台）：选购数据采集软件可实现多台天平同时无线传输数据及独立传输，数据实时变化曲线图，用户可自定义数据采集时间如1S,2S…1min.... 支持485modbus-rtu协议，可采集实验室温度及压力传感器数据，实现实验室所有天平联网智能管理；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8)采用高精度电磁力模块传感器，维护成本极低（天平使用若干年后更换传感器部件，可再延长使用寿命5--8年）使用寿命更久！大大降低了客户的后期使用成本。</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9)标配齐全的应用程序，下挂称重、百分比称量、动物称重、密度称量、计数、等多种应用程序；</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10)内置实时时钟功能符合GMP,GLP要求</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11)内建密度直读程序，配合密度配件（选配）可准确测量密度并自动运算结果；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12)IS09001质量管理体系，IS014001 环境管理体系认证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三、配置清单：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名称 数量 单位</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1）主机 1 台</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2）防风罩 1 个</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3）挡风圈   1 个</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4）秤盘 1 个</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5）电源适配器 1 个</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 合格证 1 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7）使用说明书 1 份</w:t>
            </w:r>
          </w:p>
        </w:tc>
      </w:tr>
      <w:tr w14:paraId="374AA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59024090">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23</w:t>
            </w:r>
          </w:p>
        </w:tc>
        <w:tc>
          <w:tcPr>
            <w:tcW w:w="528" w:type="pct"/>
            <w:tcBorders>
              <w:top w:val="single" w:color="auto" w:sz="4" w:space="0"/>
              <w:left w:val="single" w:color="auto" w:sz="4" w:space="0"/>
              <w:bottom w:val="single" w:color="auto" w:sz="4" w:space="0"/>
              <w:right w:val="single" w:color="auto" w:sz="4" w:space="0"/>
            </w:tcBorders>
            <w:vAlign w:val="center"/>
          </w:tcPr>
          <w:p w14:paraId="37891A34">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8道移液器</w:t>
            </w:r>
          </w:p>
        </w:tc>
        <w:tc>
          <w:tcPr>
            <w:tcW w:w="455" w:type="pct"/>
            <w:tcBorders>
              <w:top w:val="single" w:color="auto" w:sz="4" w:space="0"/>
              <w:left w:val="single" w:color="auto" w:sz="4" w:space="0"/>
              <w:bottom w:val="single" w:color="auto" w:sz="4" w:space="0"/>
              <w:right w:val="single" w:color="auto" w:sz="4" w:space="0"/>
            </w:tcBorders>
            <w:vAlign w:val="center"/>
          </w:tcPr>
          <w:p w14:paraId="4AA9D4C8">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1支</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53781F2B">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Eppendorf /Research plus</w:t>
            </w:r>
            <w:r>
              <w:rPr>
                <w:rFonts w:hint="eastAsia" w:ascii="仿宋" w:hAnsi="仿宋" w:eastAsia="仿宋" w:cs="仿宋"/>
                <w:kern w:val="0"/>
                <w:szCs w:val="21"/>
                <w:lang w:eastAsia="zh-CN"/>
              </w:rPr>
              <w:t>、</w:t>
            </w:r>
          </w:p>
          <w:p w14:paraId="6735DED9">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lang w:eastAsia="zh-CN"/>
              </w:rPr>
            </w:pPr>
            <w:r>
              <w:rPr>
                <w:rFonts w:hint="eastAsia" w:ascii="仿宋" w:hAnsi="仿宋" w:eastAsia="仿宋" w:cs="仿宋"/>
              </w:rPr>
              <w:t>BRAND /Transferpette® S-8</w:t>
            </w:r>
            <w:r>
              <w:rPr>
                <w:rFonts w:hint="eastAsia" w:ascii="仿宋" w:hAnsi="仿宋" w:eastAsia="仿宋" w:cs="仿宋"/>
                <w:lang w:eastAsia="zh-CN"/>
              </w:rPr>
              <w:t>、</w:t>
            </w:r>
          </w:p>
          <w:p w14:paraId="3640F0DB">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color w:val="000000"/>
                <w:kern w:val="0"/>
                <w:sz w:val="22"/>
                <w:szCs w:val="22"/>
                <w:lang w:bidi="ar"/>
              </w:rPr>
            </w:pPr>
            <w:r>
              <w:rPr>
                <w:rFonts w:hint="eastAsia" w:ascii="仿宋" w:hAnsi="仿宋" w:eastAsia="仿宋" w:cs="仿宋"/>
              </w:rPr>
              <w:t>赛多利斯/mLINE 8 道</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6F34ED6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1.技术参数</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1.1采用Perfect Piston™系统的高科技材质，重量轻（仅约80g），操作力小，坚固耐用，耐高温抗腐蚀</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1.2可整支高温高压灭菌和紫外线灭菌，操作更安全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1.3人体工程学设计，显著减少手、手臂和肩膀用力，避免手部重复性劳损（RSI）</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1.4下半支可徒手拆卸，便于清洁保养</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1.5伸缩式弹性吸嘴设计，确保吸头装配的气密性和移液均一性</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1.6四位数字放大体积显示，可精准设置移液体积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1.7体积视窗位置合理（在前面），便于移液观察，可单手设定体积及操作</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1.8独有密度调节窗口，适用于不同密度的液体 ，通用性更广泛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1.9 0.1μL－10mL 10种不同量程选择，全面满足不同使用需求</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1.10颜色标识移液器量程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1.11 RFID 数据芯片读取功能，可读取数据进行追踪</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1.12 多道移液器具备可拆卸的单独通道设计，确保移液精准性，节省维修成本                                                          1.13 规格10-100ul</w:t>
            </w:r>
          </w:p>
        </w:tc>
      </w:tr>
      <w:tr w14:paraId="548999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6BD8F065">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24</w:t>
            </w:r>
          </w:p>
        </w:tc>
        <w:tc>
          <w:tcPr>
            <w:tcW w:w="528" w:type="pct"/>
            <w:tcBorders>
              <w:top w:val="single" w:color="auto" w:sz="4" w:space="0"/>
              <w:left w:val="single" w:color="auto" w:sz="4" w:space="0"/>
              <w:bottom w:val="single" w:color="auto" w:sz="4" w:space="0"/>
              <w:right w:val="single" w:color="auto" w:sz="4" w:space="0"/>
            </w:tcBorders>
            <w:vAlign w:val="center"/>
          </w:tcPr>
          <w:p w14:paraId="2B091C14">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电动单道移液器</w:t>
            </w:r>
          </w:p>
        </w:tc>
        <w:tc>
          <w:tcPr>
            <w:tcW w:w="455" w:type="pct"/>
            <w:tcBorders>
              <w:top w:val="single" w:color="auto" w:sz="4" w:space="0"/>
              <w:left w:val="single" w:color="auto" w:sz="4" w:space="0"/>
              <w:bottom w:val="single" w:color="auto" w:sz="4" w:space="0"/>
              <w:right w:val="single" w:color="auto" w:sz="4" w:space="0"/>
            </w:tcBorders>
            <w:vAlign w:val="center"/>
          </w:tcPr>
          <w:p w14:paraId="2BE6657B">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1支</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34026BEA">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Eppendorf/Xplorer</w:t>
            </w:r>
            <w:r>
              <w:rPr>
                <w:rFonts w:hint="eastAsia" w:ascii="仿宋" w:hAnsi="仿宋" w:eastAsia="仿宋" w:cs="仿宋"/>
                <w:kern w:val="0"/>
                <w:szCs w:val="21"/>
                <w:lang w:eastAsia="zh-CN"/>
              </w:rPr>
              <w:t>、</w:t>
            </w:r>
          </w:p>
          <w:p w14:paraId="5DEE09A8">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rPr>
            </w:pPr>
            <w:r>
              <w:rPr>
                <w:rFonts w:hint="eastAsia" w:ascii="仿宋" w:hAnsi="仿宋" w:eastAsia="仿宋" w:cs="仿宋"/>
                <w:kern w:val="0"/>
                <w:szCs w:val="21"/>
              </w:rPr>
              <w:t>赛多利斯/Picus® 2</w:t>
            </w:r>
            <w:r>
              <w:rPr>
                <w:rFonts w:hint="eastAsia" w:ascii="仿宋" w:hAnsi="仿宋" w:eastAsia="仿宋" w:cs="仿宋"/>
                <w:kern w:val="0"/>
                <w:szCs w:val="21"/>
                <w:lang w:eastAsia="zh-CN"/>
              </w:rPr>
              <w:t>、</w:t>
            </w:r>
          </w:p>
          <w:p w14:paraId="56D2B399">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Rainin/E4 XLS+</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5FCECB7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1.技术参数</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1.1.功能在选项盘上，操作方便，一目了然，功能模式可直接通过选项盘选择</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1.2.彩色液晶屏显示，可用9种语言（含中文）快速而简便地编程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1.3.创新导杆设计，操作运动方向与活塞运动方向一致，用户可完全掌控活塞的运动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1.4.弹性吸嘴功能，安装和脱卸吸头用力小，移液重复性高</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1.5.下半支可徒手拆卸，维护方便简单，整个下半支可高温高压灭菌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1.6.具备用户调节功能，可根据实际情况调整移液器，如海拔高度、液体属性等，使移液更精准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1.7.人性化设计参数选项，如体积限量等，使移液更安全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1.8.人体工程学设计，重量轻（约158g），平衡性好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1.9.锂聚合物电池，充电时间短，工作时间长，一次充电可至少加样100块96孔板；灵活的充电选择，可通过充电器或在充电支架上充电</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1.10.可与移液管理系统组合使用，进行无线数据交换，从而实现液体管理、移液过程记录、移液群组管理等功能。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1.11 规格：5-100µl</w:t>
            </w:r>
          </w:p>
        </w:tc>
      </w:tr>
      <w:tr w14:paraId="4DB2C7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338D8448">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25</w:t>
            </w:r>
          </w:p>
        </w:tc>
        <w:tc>
          <w:tcPr>
            <w:tcW w:w="528" w:type="pct"/>
            <w:tcBorders>
              <w:top w:val="single" w:color="auto" w:sz="4" w:space="0"/>
              <w:left w:val="single" w:color="auto" w:sz="4" w:space="0"/>
              <w:bottom w:val="single" w:color="auto" w:sz="4" w:space="0"/>
              <w:right w:val="single" w:color="auto" w:sz="4" w:space="0"/>
            </w:tcBorders>
            <w:vAlign w:val="center"/>
          </w:tcPr>
          <w:p w14:paraId="6BF31F46">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真空吸液泵</w:t>
            </w:r>
          </w:p>
        </w:tc>
        <w:tc>
          <w:tcPr>
            <w:tcW w:w="455" w:type="pct"/>
            <w:tcBorders>
              <w:top w:val="single" w:color="auto" w:sz="4" w:space="0"/>
              <w:left w:val="single" w:color="auto" w:sz="4" w:space="0"/>
              <w:bottom w:val="single" w:color="auto" w:sz="4" w:space="0"/>
              <w:right w:val="single" w:color="auto" w:sz="4" w:space="0"/>
            </w:tcBorders>
            <w:vAlign w:val="center"/>
          </w:tcPr>
          <w:p w14:paraId="5E8B0BCC">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1套</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74642779">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安迪真空/VFi-100</w:t>
            </w:r>
            <w:r>
              <w:rPr>
                <w:rFonts w:hint="eastAsia" w:ascii="仿宋" w:hAnsi="仿宋" w:eastAsia="仿宋" w:cs="仿宋"/>
                <w:kern w:val="0"/>
                <w:szCs w:val="21"/>
                <w:lang w:eastAsia="zh-CN"/>
              </w:rPr>
              <w:t>、</w:t>
            </w:r>
            <w:r>
              <w:rPr>
                <w:rFonts w:hint="eastAsia" w:ascii="仿宋" w:hAnsi="仿宋" w:eastAsia="仿宋" w:cs="仿宋"/>
                <w:kern w:val="0"/>
                <w:szCs w:val="21"/>
              </w:rPr>
              <w:t>普兰德/BVC control</w:t>
            </w:r>
            <w:r>
              <w:rPr>
                <w:rFonts w:hint="eastAsia" w:ascii="仿宋" w:hAnsi="仿宋" w:eastAsia="仿宋" w:cs="仿宋"/>
                <w:kern w:val="0"/>
                <w:szCs w:val="21"/>
                <w:lang w:eastAsia="zh-CN"/>
              </w:rPr>
              <w:t>、</w:t>
            </w:r>
          </w:p>
          <w:p w14:paraId="4BB072C5">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梅特勒/QuickFlow 4L UNV</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5C39BE7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收集瓶:4升塑料瓶；2、真空控制：300-800mbar；3、重量：3.75kg；▲4、自带可调节无极变速真空控制系统，自动启停；▲5、内置双泵头可变速隔膜泵作为真空源，真空度更高，静音效果更好；6、流量控制：10-20L/min。                                   </w:t>
            </w:r>
          </w:p>
        </w:tc>
      </w:tr>
      <w:tr w14:paraId="4E94B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20AB7695">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26</w:t>
            </w:r>
          </w:p>
        </w:tc>
        <w:tc>
          <w:tcPr>
            <w:tcW w:w="528" w:type="pct"/>
            <w:tcBorders>
              <w:top w:val="single" w:color="auto" w:sz="4" w:space="0"/>
              <w:left w:val="single" w:color="auto" w:sz="4" w:space="0"/>
              <w:bottom w:val="single" w:color="auto" w:sz="4" w:space="0"/>
              <w:right w:val="single" w:color="auto" w:sz="4" w:space="0"/>
            </w:tcBorders>
            <w:vAlign w:val="center"/>
          </w:tcPr>
          <w:p w14:paraId="20FC7CFA">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红外压片机</w:t>
            </w:r>
          </w:p>
        </w:tc>
        <w:tc>
          <w:tcPr>
            <w:tcW w:w="455" w:type="pct"/>
            <w:tcBorders>
              <w:top w:val="single" w:color="auto" w:sz="4" w:space="0"/>
              <w:left w:val="single" w:color="auto" w:sz="4" w:space="0"/>
              <w:bottom w:val="single" w:color="auto" w:sz="4" w:space="0"/>
              <w:right w:val="single" w:color="auto" w:sz="4" w:space="0"/>
            </w:tcBorders>
            <w:vAlign w:val="center"/>
          </w:tcPr>
          <w:p w14:paraId="5D5D0203">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1台</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09F3517E">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天津天光/HYC-12</w:t>
            </w:r>
            <w:r>
              <w:rPr>
                <w:rFonts w:hint="eastAsia" w:ascii="仿宋" w:hAnsi="仿宋" w:eastAsia="仿宋" w:cs="仿宋"/>
                <w:kern w:val="0"/>
                <w:szCs w:val="21"/>
                <w:lang w:eastAsia="zh-CN"/>
              </w:rPr>
              <w:t>、</w:t>
            </w:r>
          </w:p>
          <w:p w14:paraId="52737FA5">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天津诺雷信达/HY-15A</w:t>
            </w:r>
            <w:r>
              <w:rPr>
                <w:rFonts w:hint="eastAsia" w:ascii="仿宋" w:hAnsi="仿宋" w:eastAsia="仿宋" w:cs="仿宋"/>
                <w:kern w:val="0"/>
                <w:szCs w:val="21"/>
                <w:lang w:eastAsia="zh-CN"/>
              </w:rPr>
              <w:t>、</w:t>
            </w:r>
          </w:p>
          <w:p w14:paraId="13F74154">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山东天研/TY-SP-15TH</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5722A5F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压力范围 0-12T(0-30MPa)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活塞直径 镀铬油缸中 70mm(d)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压力表 双刻度压力表显示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最大活塞行程 30mm(T)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压力稳定性 ≤1MPa/10min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工作台直径 中 80mm (D)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立柱数量 2 根立柱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立柱间距 96X130mm(MXN)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外形尺寸 225X200X405mm(LXWXH)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设备重量 28Kg </w:t>
            </w:r>
          </w:p>
        </w:tc>
      </w:tr>
      <w:tr w14:paraId="089F6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7E23D028">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27</w:t>
            </w:r>
          </w:p>
        </w:tc>
        <w:tc>
          <w:tcPr>
            <w:tcW w:w="528" w:type="pct"/>
            <w:tcBorders>
              <w:top w:val="single" w:color="auto" w:sz="4" w:space="0"/>
              <w:left w:val="single" w:color="auto" w:sz="4" w:space="0"/>
              <w:bottom w:val="single" w:color="auto" w:sz="4" w:space="0"/>
              <w:right w:val="single" w:color="auto" w:sz="4" w:space="0"/>
            </w:tcBorders>
            <w:vAlign w:val="center"/>
          </w:tcPr>
          <w:p w14:paraId="78C0E16F">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自动部分收集器</w:t>
            </w:r>
          </w:p>
        </w:tc>
        <w:tc>
          <w:tcPr>
            <w:tcW w:w="455" w:type="pct"/>
            <w:tcBorders>
              <w:top w:val="single" w:color="auto" w:sz="4" w:space="0"/>
              <w:left w:val="single" w:color="auto" w:sz="4" w:space="0"/>
              <w:bottom w:val="single" w:color="auto" w:sz="4" w:space="0"/>
              <w:right w:val="single" w:color="auto" w:sz="4" w:space="0"/>
            </w:tcBorders>
            <w:vAlign w:val="center"/>
          </w:tcPr>
          <w:p w14:paraId="7B221049">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1台</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4CDC0EE0">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上海金鹏/BSZ-100</w:t>
            </w:r>
            <w:r>
              <w:rPr>
                <w:rFonts w:hint="eastAsia" w:ascii="仿宋" w:hAnsi="仿宋" w:eastAsia="仿宋" w:cs="仿宋"/>
                <w:kern w:val="0"/>
                <w:szCs w:val="21"/>
                <w:lang w:eastAsia="zh-CN"/>
              </w:rPr>
              <w:t>、</w:t>
            </w:r>
          </w:p>
          <w:p w14:paraId="2D93693B">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青浦沪西/BSZ-100</w:t>
            </w:r>
            <w:r>
              <w:rPr>
                <w:rFonts w:hint="eastAsia" w:ascii="仿宋" w:hAnsi="仿宋" w:eastAsia="仿宋" w:cs="仿宋"/>
                <w:kern w:val="0"/>
                <w:szCs w:val="21"/>
                <w:lang w:eastAsia="zh-CN"/>
              </w:rPr>
              <w:t>、</w:t>
            </w:r>
            <w:r>
              <w:rPr>
                <w:rFonts w:hint="eastAsia" w:ascii="仿宋" w:hAnsi="仿宋" w:eastAsia="仿宋" w:cs="仿宋"/>
                <w:kern w:val="0"/>
                <w:szCs w:val="21"/>
              </w:rPr>
              <w:t>琪特/BSZ-100N-LCD</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47A6FFF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收集试管：100支；容量：12ml；定量收集范围：1秒-199小时59分59秒，任意选择；显示方式：数码管；试管盘架：圆形数字标记试管盘；断电数据保存：十年。</w:t>
            </w:r>
          </w:p>
        </w:tc>
      </w:tr>
      <w:tr w14:paraId="6B7156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10B33A72">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28</w:t>
            </w:r>
          </w:p>
        </w:tc>
        <w:tc>
          <w:tcPr>
            <w:tcW w:w="528" w:type="pct"/>
            <w:tcBorders>
              <w:top w:val="single" w:color="auto" w:sz="4" w:space="0"/>
              <w:left w:val="single" w:color="auto" w:sz="4" w:space="0"/>
              <w:bottom w:val="single" w:color="auto" w:sz="4" w:space="0"/>
              <w:right w:val="single" w:color="auto" w:sz="4" w:space="0"/>
            </w:tcBorders>
            <w:vAlign w:val="center"/>
          </w:tcPr>
          <w:p w14:paraId="0002B49D">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数显水浴锅</w:t>
            </w:r>
          </w:p>
        </w:tc>
        <w:tc>
          <w:tcPr>
            <w:tcW w:w="455" w:type="pct"/>
            <w:tcBorders>
              <w:top w:val="single" w:color="auto" w:sz="4" w:space="0"/>
              <w:left w:val="single" w:color="auto" w:sz="4" w:space="0"/>
              <w:bottom w:val="single" w:color="auto" w:sz="4" w:space="0"/>
              <w:right w:val="single" w:color="auto" w:sz="4" w:space="0"/>
            </w:tcBorders>
            <w:vAlign w:val="center"/>
          </w:tcPr>
          <w:p w14:paraId="6AADE209">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2个</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2014EC79">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力辰// LC-HH-1</w:t>
            </w:r>
            <w:r>
              <w:rPr>
                <w:rFonts w:hint="eastAsia" w:ascii="仿宋" w:hAnsi="仿宋" w:eastAsia="仿宋" w:cs="仿宋"/>
                <w:kern w:val="0"/>
                <w:szCs w:val="21"/>
                <w:lang w:eastAsia="zh-CN"/>
              </w:rPr>
              <w:t>、</w:t>
            </w:r>
          </w:p>
          <w:p w14:paraId="7C7C19D9">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四亿WB101</w:t>
            </w:r>
            <w:r>
              <w:rPr>
                <w:rFonts w:hint="eastAsia" w:ascii="仿宋" w:hAnsi="仿宋" w:eastAsia="仿宋" w:cs="仿宋"/>
                <w:kern w:val="0"/>
                <w:szCs w:val="21"/>
                <w:lang w:eastAsia="zh-CN"/>
              </w:rPr>
              <w:t>、</w:t>
            </w:r>
          </w:p>
          <w:p w14:paraId="5084E15B">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上海叶拓/DK-B420</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2344E1C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电源电压 AC220V 50HZ；功率350；孔数1；显示方式:LED数码管；产品尺寸</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（L×W×H）mm：200×200×200</w:t>
            </w:r>
          </w:p>
        </w:tc>
      </w:tr>
      <w:tr w14:paraId="1140D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1C2D6233">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29</w:t>
            </w:r>
          </w:p>
        </w:tc>
        <w:tc>
          <w:tcPr>
            <w:tcW w:w="528" w:type="pct"/>
            <w:tcBorders>
              <w:top w:val="single" w:color="auto" w:sz="4" w:space="0"/>
              <w:left w:val="single" w:color="auto" w:sz="4" w:space="0"/>
              <w:bottom w:val="single" w:color="auto" w:sz="4" w:space="0"/>
              <w:right w:val="single" w:color="auto" w:sz="4" w:space="0"/>
            </w:tcBorders>
            <w:vAlign w:val="center"/>
          </w:tcPr>
          <w:p w14:paraId="5EE0B126">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垂直电泳槽</w:t>
            </w:r>
          </w:p>
        </w:tc>
        <w:tc>
          <w:tcPr>
            <w:tcW w:w="455" w:type="pct"/>
            <w:tcBorders>
              <w:top w:val="single" w:color="auto" w:sz="4" w:space="0"/>
              <w:left w:val="single" w:color="auto" w:sz="4" w:space="0"/>
              <w:bottom w:val="single" w:color="auto" w:sz="4" w:space="0"/>
              <w:right w:val="single" w:color="auto" w:sz="4" w:space="0"/>
            </w:tcBorders>
            <w:vAlign w:val="center"/>
          </w:tcPr>
          <w:p w14:paraId="581F001A">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1套</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43A14949">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道一/PES-5/40</w:t>
            </w:r>
            <w:r>
              <w:rPr>
                <w:rFonts w:hint="eastAsia" w:ascii="仿宋" w:hAnsi="仿宋" w:eastAsia="仿宋" w:cs="仿宋"/>
                <w:kern w:val="0"/>
                <w:szCs w:val="21"/>
                <w:lang w:eastAsia="zh-CN"/>
              </w:rPr>
              <w:t>、</w:t>
            </w:r>
          </w:p>
          <w:p w14:paraId="09B382A0">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北京六一/DYCZ-MINI4</w:t>
            </w:r>
            <w:r>
              <w:rPr>
                <w:rFonts w:hint="eastAsia" w:ascii="仿宋" w:hAnsi="仿宋" w:eastAsia="仿宋" w:cs="仿宋"/>
                <w:kern w:val="0"/>
                <w:szCs w:val="21"/>
                <w:lang w:eastAsia="zh-CN"/>
              </w:rPr>
              <w:t>、</w:t>
            </w:r>
          </w:p>
          <w:p w14:paraId="38F1C77F">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北京君意/JY-SCZ4</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38EF220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技术参数：▲1.凝胶数：1-4</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2.手灌胶：使用玻璃板灌制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3.凝胶尺寸（宽X长）：预制：86mm x 68mm；手灌：83mm x 73mm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4.玻璃板尺寸：短玻板 101mm x 73mm ； 长玻板  101mm x 82mm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5.2块凝胶的缓冲液总体积：700ml</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6.4块凝胶的缓冲液总体积：1000ml</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7.SDS – PAGE经典运行时间 ：35-45分钟（在200V恒定电压下）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8.尺寸（宽 x 长x 高）：125mm x 165mm x 150mm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9.重量（kg）：1.0kg </w:t>
            </w:r>
          </w:p>
        </w:tc>
      </w:tr>
      <w:tr w14:paraId="6364AD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4934D64B">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30</w:t>
            </w:r>
          </w:p>
        </w:tc>
        <w:tc>
          <w:tcPr>
            <w:tcW w:w="528" w:type="pct"/>
            <w:tcBorders>
              <w:top w:val="single" w:color="auto" w:sz="4" w:space="0"/>
              <w:left w:val="single" w:color="auto" w:sz="4" w:space="0"/>
              <w:bottom w:val="single" w:color="auto" w:sz="4" w:space="0"/>
              <w:right w:val="single" w:color="auto" w:sz="4" w:space="0"/>
            </w:tcBorders>
            <w:vAlign w:val="center"/>
          </w:tcPr>
          <w:p w14:paraId="62E1F7C8">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小型电泳槽(4胶)</w:t>
            </w:r>
          </w:p>
        </w:tc>
        <w:tc>
          <w:tcPr>
            <w:tcW w:w="455" w:type="pct"/>
            <w:tcBorders>
              <w:top w:val="single" w:color="auto" w:sz="4" w:space="0"/>
              <w:left w:val="single" w:color="auto" w:sz="4" w:space="0"/>
              <w:bottom w:val="single" w:color="auto" w:sz="4" w:space="0"/>
              <w:right w:val="single" w:color="auto" w:sz="4" w:space="0"/>
            </w:tcBorders>
            <w:vAlign w:val="center"/>
          </w:tcPr>
          <w:p w14:paraId="5053E8A2">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1套</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49F38740">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道一/Basic400+PES-5/40</w:t>
            </w:r>
            <w:r>
              <w:rPr>
                <w:rFonts w:hint="eastAsia" w:ascii="仿宋" w:hAnsi="仿宋" w:eastAsia="仿宋" w:cs="仿宋"/>
                <w:kern w:val="0"/>
                <w:szCs w:val="21"/>
                <w:lang w:eastAsia="zh-CN"/>
              </w:rPr>
              <w:t>、</w:t>
            </w:r>
          </w:p>
          <w:p w14:paraId="28E790BD">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北京六一/DYY6D+DYCZ-MINI4</w:t>
            </w:r>
            <w:r>
              <w:rPr>
                <w:rFonts w:hint="eastAsia" w:ascii="仿宋" w:hAnsi="仿宋" w:eastAsia="仿宋" w:cs="仿宋"/>
                <w:kern w:val="0"/>
                <w:szCs w:val="21"/>
                <w:lang w:eastAsia="zh-CN"/>
              </w:rPr>
              <w:t>、</w:t>
            </w:r>
          </w:p>
          <w:p w14:paraId="7A077B4D">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北京君意/JY300C+JY-SCZ4</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6DD8BB8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1.1、▲电源独立的双通道设计，相当于两个独立的基础电源，两边输出端口可同时独立输出300V，600mA，120W；</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1.2、▲可编程的输出范围：10-300V，完全可调，增量为1V；10-600mA，完全可调，增量为1mA；1-120W，完全可调，增量为1W；</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1.3、可自动切换的恒定电压、恒定电流或恒定功率；</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1.4、A、B两端独立的双电源输出口；</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1.5、两个输出口的时间可通过触摸屏单独设定，设定范围1分钟-99小时59分钟，完全可调；</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1.6、具有暂停和恢复功能；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1.7、▲可编辑和储存5个设定程序，每个程序包设3个步骤；</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1.8、▲具有实时时钟功能，具备顺数/倒数时间切换功能；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1.9、▲通过3.5英寸的触摸屏控制；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1.10、安全特性:无负荷检测，负荷突变检测，接地泄漏检测，超负荷/短路保护，过电压检测，输入电路保护，停电后自动打开电源    2.1、▲凝胶数：1-4</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2.2、手灌胶：使用玻璃板灌制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2.3、凝胶尺寸（宽X长）：预制：86mm x 68mm；手灌：83mm x 73mm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2.4、玻璃板尺寸：短玻板 101mm x 73mm ； 长玻板  101mm x 82mm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2.5、 2块凝胶的缓冲液总体积：700ml</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2.6、 4块凝胶的缓冲液总体积：1000ml</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2.7、 SDS – PAGE经典运行时间 ：35-45分钟（在200V恒定电压下）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2.8、尺寸（宽 x 长x 高）：125mm x 165mm x 150mm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2.9、重量（kg）：1.0kg </w:t>
            </w:r>
          </w:p>
        </w:tc>
      </w:tr>
      <w:tr w14:paraId="7A2AA4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424563D6">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31</w:t>
            </w:r>
          </w:p>
        </w:tc>
        <w:tc>
          <w:tcPr>
            <w:tcW w:w="528" w:type="pct"/>
            <w:tcBorders>
              <w:top w:val="single" w:color="auto" w:sz="4" w:space="0"/>
              <w:left w:val="single" w:color="auto" w:sz="4" w:space="0"/>
              <w:bottom w:val="single" w:color="auto" w:sz="4" w:space="0"/>
              <w:right w:val="single" w:color="auto" w:sz="4" w:space="0"/>
            </w:tcBorders>
            <w:vAlign w:val="center"/>
          </w:tcPr>
          <w:p w14:paraId="554D4CCC">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小型转印槽</w:t>
            </w:r>
          </w:p>
        </w:tc>
        <w:tc>
          <w:tcPr>
            <w:tcW w:w="455" w:type="pct"/>
            <w:tcBorders>
              <w:top w:val="single" w:color="auto" w:sz="4" w:space="0"/>
              <w:left w:val="single" w:color="auto" w:sz="4" w:space="0"/>
              <w:bottom w:val="single" w:color="auto" w:sz="4" w:space="0"/>
              <w:right w:val="single" w:color="auto" w:sz="4" w:space="0"/>
            </w:tcBorders>
            <w:vAlign w:val="center"/>
          </w:tcPr>
          <w:p w14:paraId="3B457991">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1套</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78BCBE6B">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道一/Basic200+TB-5</w:t>
            </w:r>
            <w:r>
              <w:rPr>
                <w:rFonts w:hint="eastAsia" w:ascii="仿宋" w:hAnsi="仿宋" w:eastAsia="仿宋" w:cs="仿宋"/>
                <w:kern w:val="0"/>
                <w:szCs w:val="21"/>
                <w:lang w:eastAsia="zh-CN"/>
              </w:rPr>
              <w:t>、</w:t>
            </w:r>
          </w:p>
          <w:p w14:paraId="2A2D27DE">
            <w:pPr>
              <w:pStyle w:val="16"/>
              <w:keepNext w:val="0"/>
              <w:keepLines w:val="0"/>
              <w:pageBreakBefore w:val="0"/>
              <w:widowControl w:val="0"/>
              <w:numPr>
                <w:ilvl w:val="0"/>
                <w:numId w:val="0"/>
              </w:numPr>
              <w:kinsoku/>
              <w:wordWrap/>
              <w:overflowPunct/>
              <w:topLinePunct w:val="0"/>
              <w:autoSpaceDE w:val="0"/>
              <w:autoSpaceDN w:val="0"/>
              <w:bidi w:val="0"/>
              <w:adjustRightInd/>
              <w:snapToGrid/>
              <w:ind w:leftChars="0"/>
              <w:jc w:val="left"/>
              <w:textAlignment w:val="auto"/>
              <w:rPr>
                <w:rFonts w:hint="eastAsia" w:ascii="仿宋" w:hAnsi="仿宋" w:eastAsia="仿宋" w:cs="仿宋"/>
                <w:kern w:val="0"/>
                <w:szCs w:val="21"/>
              </w:rPr>
            </w:pPr>
            <w:r>
              <w:rPr>
                <w:rFonts w:hint="eastAsia" w:ascii="仿宋" w:hAnsi="仿宋" w:eastAsia="仿宋" w:cs="仿宋"/>
                <w:kern w:val="0"/>
                <w:szCs w:val="21"/>
              </w:rPr>
              <w:t>北京六一/DYY6C+DYCZ-40C</w:t>
            </w:r>
            <w:r>
              <w:rPr>
                <w:rFonts w:hint="eastAsia" w:ascii="仿宋" w:hAnsi="仿宋" w:eastAsia="仿宋" w:cs="仿宋"/>
                <w:kern w:val="0"/>
                <w:szCs w:val="21"/>
                <w:lang w:eastAsia="zh-CN"/>
              </w:rPr>
              <w:t>、</w:t>
            </w:r>
          </w:p>
          <w:p w14:paraId="603EF0A7">
            <w:pPr>
              <w:pStyle w:val="16"/>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left"/>
              <w:textAlignment w:val="auto"/>
              <w:rPr>
                <w:rFonts w:hint="eastAsia" w:ascii="仿宋" w:hAnsi="仿宋" w:eastAsia="仿宋" w:cs="仿宋"/>
                <w:color w:val="000000"/>
                <w:kern w:val="0"/>
                <w:sz w:val="22"/>
                <w:szCs w:val="22"/>
                <w:lang w:bidi="ar"/>
              </w:rPr>
            </w:pPr>
            <w:r>
              <w:rPr>
                <w:rFonts w:hint="eastAsia" w:ascii="仿宋" w:hAnsi="仿宋" w:eastAsia="仿宋" w:cs="仿宋"/>
                <w:kern w:val="0"/>
                <w:szCs w:val="21"/>
              </w:rPr>
              <w:t>北京君意/JY300+JY-ZY5</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4885097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1.1、四个并联输出接口，300V，600mA，120W；</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1.2、▲可编程的输出范围：10-300V，完全可调，增量为1V；10-600mA，完全可调，增量为1mA；1-120W，完全可调，增量为1W；</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1.3、可自动切换的恒定电压、恒定电流或恒定功率；</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1.4、时间可通过触摸屏单独设定，设定范围1分钟-99小时59分钟完全可调；</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1.5、具有暂停和恢复功能；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1.6、▲可编辑和储存5个设定程序，每个程序包设3个步骤；</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1.7、▲具有实时时钟功能，具备顺数/倒数时间切换功能；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1.8、▲通过3.5英寸的触摸屏控制；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1.9、安全特性:无负荷检测，负荷突变检测，接地泄漏检测，超负荷/短路保护，过电压检测，输入电路保护，停电后自动打开电源      2.1、▲可同时转印2块100nm X 75nm凝胶,也可以进行低强度的隔夜转印;</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2.2、近相距的电极以产生强电场保证高效的蛋白转印;</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2.3、清晰的标志,确保转印过程中凝胶的正确定向;</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2.4、蓝色冰盒可完全置于转印槽内,在快速转印过程中吸收热量;</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2.5、缓冲液要求:1000ml;</w:t>
            </w:r>
          </w:p>
        </w:tc>
      </w:tr>
      <w:tr w14:paraId="177934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383" w:type="pct"/>
            <w:gridSpan w:val="2"/>
            <w:tcBorders>
              <w:top w:val="single" w:color="auto" w:sz="4" w:space="0"/>
              <w:left w:val="single" w:color="auto" w:sz="4" w:space="0"/>
              <w:bottom w:val="single" w:color="auto" w:sz="4" w:space="0"/>
              <w:right w:val="single" w:color="auto" w:sz="4" w:space="0"/>
            </w:tcBorders>
            <w:vAlign w:val="center"/>
          </w:tcPr>
          <w:p w14:paraId="523A03D1">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i w:val="0"/>
                <w:iCs w:val="0"/>
                <w:color w:val="000000"/>
                <w:kern w:val="0"/>
                <w:sz w:val="22"/>
                <w:szCs w:val="22"/>
                <w:u w:val="none"/>
                <w:lang w:val="en-US" w:eastAsia="zh-CN" w:bidi="ar"/>
              </w:rPr>
              <w:t>32</w:t>
            </w:r>
          </w:p>
        </w:tc>
        <w:tc>
          <w:tcPr>
            <w:tcW w:w="528" w:type="pct"/>
            <w:tcBorders>
              <w:top w:val="single" w:color="auto" w:sz="4" w:space="0"/>
              <w:left w:val="single" w:color="auto" w:sz="4" w:space="0"/>
              <w:bottom w:val="single" w:color="auto" w:sz="4" w:space="0"/>
              <w:right w:val="single" w:color="auto" w:sz="4" w:space="0"/>
            </w:tcBorders>
            <w:vAlign w:val="center"/>
          </w:tcPr>
          <w:p w14:paraId="2495EA3C">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0.5～10μL八道可调移液器</w:t>
            </w:r>
          </w:p>
        </w:tc>
        <w:tc>
          <w:tcPr>
            <w:tcW w:w="455" w:type="pct"/>
            <w:tcBorders>
              <w:top w:val="single" w:color="auto" w:sz="4" w:space="0"/>
              <w:left w:val="single" w:color="auto" w:sz="4" w:space="0"/>
              <w:bottom w:val="single" w:color="auto" w:sz="4" w:space="0"/>
              <w:right w:val="single" w:color="auto" w:sz="4" w:space="0"/>
            </w:tcBorders>
            <w:vAlign w:val="center"/>
          </w:tcPr>
          <w:p w14:paraId="55BE68C7">
            <w:pPr>
              <w:keepNext w:val="0"/>
              <w:keepLines w:val="0"/>
              <w:widowControl/>
              <w:suppressLineNumbers w:val="0"/>
              <w:jc w:val="center"/>
              <w:textAlignment w:val="center"/>
              <w:rPr>
                <w:rFonts w:hint="eastAsia" w:ascii="仿宋" w:hAnsi="仿宋" w:eastAsia="仿宋" w:cs="仿宋"/>
                <w:sz w:val="22"/>
                <w:szCs w:val="22"/>
              </w:rPr>
            </w:pPr>
            <w:r>
              <w:rPr>
                <w:rFonts w:hint="eastAsia" w:ascii="仿宋" w:hAnsi="仿宋" w:eastAsia="仿宋" w:cs="仿宋"/>
                <w:i w:val="0"/>
                <w:iCs w:val="0"/>
                <w:color w:val="000000"/>
                <w:kern w:val="0"/>
                <w:sz w:val="22"/>
                <w:szCs w:val="22"/>
                <w:u w:val="none"/>
                <w:lang w:val="en-US" w:eastAsia="zh-CN" w:bidi="ar"/>
              </w:rPr>
              <w:t>2支</w:t>
            </w:r>
          </w:p>
        </w:tc>
        <w:tc>
          <w:tcPr>
            <w:tcW w:w="1029" w:type="pct"/>
            <w:gridSpan w:val="2"/>
            <w:tcBorders>
              <w:top w:val="single" w:color="auto" w:sz="4" w:space="0"/>
              <w:left w:val="single" w:color="auto" w:sz="4" w:space="0"/>
              <w:bottom w:val="single" w:color="auto" w:sz="4" w:space="0"/>
              <w:right w:val="single" w:color="auto" w:sz="4" w:space="0"/>
            </w:tcBorders>
            <w:vAlign w:val="center"/>
          </w:tcPr>
          <w:p w14:paraId="4F9131A3">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kern w:val="0"/>
                <w:szCs w:val="21"/>
                <w:lang w:eastAsia="zh-CN"/>
              </w:rPr>
            </w:pPr>
            <w:r>
              <w:rPr>
                <w:rFonts w:hint="eastAsia" w:ascii="仿宋" w:hAnsi="仿宋" w:eastAsia="仿宋" w:cs="仿宋"/>
                <w:kern w:val="0"/>
                <w:szCs w:val="21"/>
              </w:rPr>
              <w:t>Eppendorf /Research plus</w:t>
            </w:r>
            <w:r>
              <w:rPr>
                <w:rFonts w:hint="eastAsia" w:ascii="仿宋" w:hAnsi="仿宋" w:eastAsia="仿宋" w:cs="仿宋"/>
                <w:kern w:val="0"/>
                <w:szCs w:val="21"/>
                <w:lang w:eastAsia="zh-CN"/>
              </w:rPr>
              <w:t>、</w:t>
            </w:r>
          </w:p>
          <w:p w14:paraId="35CCED84">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仿宋" w:hAnsi="仿宋" w:eastAsia="仿宋" w:cs="仿宋"/>
                <w:color w:val="000000"/>
                <w:kern w:val="0"/>
                <w:sz w:val="22"/>
                <w:szCs w:val="22"/>
                <w:lang w:bidi="ar"/>
              </w:rPr>
            </w:pPr>
            <w:r>
              <w:rPr>
                <w:rFonts w:hint="eastAsia" w:ascii="仿宋" w:hAnsi="仿宋" w:eastAsia="仿宋" w:cs="仿宋"/>
              </w:rPr>
              <w:t>BRAND /Transferpette® S-8</w:t>
            </w:r>
            <w:r>
              <w:rPr>
                <w:rFonts w:hint="eastAsia" w:ascii="仿宋" w:hAnsi="仿宋" w:eastAsia="仿宋" w:cs="仿宋"/>
                <w:lang w:eastAsia="zh-CN"/>
              </w:rPr>
              <w:t>、</w:t>
            </w:r>
            <w:r>
              <w:rPr>
                <w:rFonts w:hint="eastAsia" w:ascii="仿宋" w:hAnsi="仿宋" w:eastAsia="仿宋" w:cs="仿宋"/>
              </w:rPr>
              <w:t>赛多利斯/mLINE 8 道</w:t>
            </w:r>
            <w:r>
              <w:rPr>
                <w:rFonts w:hint="eastAsia" w:ascii="仿宋" w:hAnsi="仿宋" w:eastAsia="仿宋" w:cs="仿宋"/>
                <w:color w:val="000000"/>
                <w:kern w:val="0"/>
                <w:szCs w:val="21"/>
                <w:lang w:bidi="zh-CN"/>
              </w:rPr>
              <w:t>或其他同等以上品牌型号</w:t>
            </w:r>
          </w:p>
        </w:tc>
        <w:tc>
          <w:tcPr>
            <w:tcW w:w="2602" w:type="pct"/>
            <w:gridSpan w:val="4"/>
            <w:tcBorders>
              <w:top w:val="single" w:color="auto" w:sz="4" w:space="0"/>
              <w:left w:val="single" w:color="auto" w:sz="4" w:space="0"/>
              <w:bottom w:val="single" w:color="auto" w:sz="4" w:space="0"/>
              <w:right w:val="single" w:color="auto" w:sz="4" w:space="0"/>
            </w:tcBorders>
            <w:vAlign w:val="center"/>
          </w:tcPr>
          <w:p w14:paraId="5F696BD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1.技术参数</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1.1采用Perfect Piston™系统的高科技材质，重量轻（仅约80g），操作力小，坚固耐用，耐高温抗腐蚀</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1.2可整支高温高压灭菌和紫外线灭菌，操作更安全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1.3人体工程学设计，显著减少手、手臂和肩膀用力，避免手部重复性劳损（RSI）</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1.4下半支可徒手拆卸，便于清洁保养</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1.5伸缩式弹性吸嘴设计，确保吸头装配的气密性和移液均一性</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1.6四位数字放大体积显示，可精准设置移液体积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1.7体积视窗位置合理（在前面），便于移液观察，可单手设定体积及操作</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1.8独有密度调节窗口，适用于不同密度的液体 ，通用性更广泛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1.9 0.1μL－10mL 10种不同量程选择，全面满足不同使用需求</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1.10颜色标识移液器量程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1.11 RFID 数据芯片读取功能，可读取数据进行追踪</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1.12 多道移液器具备可拆卸的单独通道设计，确保移液精准性，节省维修成本</w:t>
            </w:r>
          </w:p>
        </w:tc>
      </w:tr>
      <w:tr w14:paraId="46437D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pct"/>
            <w:gridSpan w:val="10"/>
            <w:tcBorders>
              <w:top w:val="single" w:color="auto" w:sz="4" w:space="0"/>
              <w:left w:val="single" w:color="auto" w:sz="4" w:space="0"/>
              <w:bottom w:val="single" w:color="auto" w:sz="4" w:space="0"/>
              <w:right w:val="single" w:color="auto" w:sz="4" w:space="0"/>
            </w:tcBorders>
            <w:vAlign w:val="center"/>
          </w:tcPr>
          <w:p w14:paraId="35452DCA">
            <w:pPr>
              <w:autoSpaceDE w:val="0"/>
              <w:autoSpaceDN w:val="0"/>
              <w:adjustRightInd w:val="0"/>
              <w:spacing w:line="360" w:lineRule="auto"/>
              <w:jc w:val="left"/>
              <w:rPr>
                <w:rFonts w:hint="eastAsia" w:ascii="宋体" w:hAnsi="宋体" w:eastAsia="宋体" w:cs="TimesNewRomanPSMT"/>
                <w:b/>
                <w:kern w:val="0"/>
                <w:szCs w:val="21"/>
              </w:rPr>
            </w:pPr>
            <w:r>
              <w:rPr>
                <w:rFonts w:hint="eastAsia" w:ascii="宋体" w:hAnsi="宋体" w:eastAsia="宋体" w:cs="TimesNewRomanPSMT"/>
                <w:b/>
                <w:kern w:val="0"/>
                <w:szCs w:val="21"/>
              </w:rPr>
              <w:t>二、供应商响应情况</w:t>
            </w:r>
          </w:p>
        </w:tc>
      </w:tr>
      <w:tr w14:paraId="44D3A0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5000" w:type="pct"/>
            <w:gridSpan w:val="10"/>
            <w:tcBorders>
              <w:top w:val="single" w:color="auto" w:sz="4" w:space="0"/>
              <w:left w:val="single" w:color="auto" w:sz="4" w:space="0"/>
              <w:bottom w:val="single" w:color="auto" w:sz="4" w:space="0"/>
              <w:right w:val="single" w:color="auto" w:sz="4" w:space="0"/>
            </w:tcBorders>
            <w:vAlign w:val="center"/>
          </w:tcPr>
          <w:p w14:paraId="01A55A43">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参数响应情况：无偏离          商务响应情况：无偏离</w:t>
            </w:r>
          </w:p>
        </w:tc>
      </w:tr>
      <w:tr w14:paraId="5B4506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5000" w:type="pct"/>
            <w:gridSpan w:val="10"/>
            <w:tcBorders>
              <w:top w:val="single" w:color="auto" w:sz="4" w:space="0"/>
              <w:left w:val="single" w:color="auto" w:sz="4" w:space="0"/>
              <w:bottom w:val="single" w:color="auto" w:sz="4" w:space="0"/>
              <w:right w:val="single" w:color="auto" w:sz="4" w:space="0"/>
            </w:tcBorders>
            <w:vAlign w:val="center"/>
          </w:tcPr>
          <w:p w14:paraId="4DC8B7C8">
            <w:pPr>
              <w:tabs>
                <w:tab w:val="left" w:pos="1820"/>
              </w:tabs>
              <w:spacing w:line="360" w:lineRule="auto"/>
              <w:rPr>
                <w:rFonts w:hint="eastAsia" w:ascii="宋体" w:hAnsi="宋体" w:eastAsia="宋体" w:cs="Times New Roman"/>
                <w:b/>
                <w:szCs w:val="21"/>
              </w:rPr>
            </w:pPr>
            <w:r>
              <w:rPr>
                <w:rFonts w:hint="eastAsia" w:ascii="宋体" w:hAnsi="宋体" w:eastAsia="宋体" w:cs="Times New Roman"/>
                <w:b/>
                <w:szCs w:val="21"/>
              </w:rPr>
              <w:t>三、供应商报价（必要时可另附清单）</w:t>
            </w:r>
          </w:p>
        </w:tc>
      </w:tr>
      <w:tr w14:paraId="7CF579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5000" w:type="pct"/>
            <w:gridSpan w:val="10"/>
            <w:tcBorders>
              <w:top w:val="single" w:color="auto" w:sz="4" w:space="0"/>
              <w:left w:val="single" w:color="auto" w:sz="4" w:space="0"/>
              <w:bottom w:val="single" w:color="auto" w:sz="4" w:space="0"/>
              <w:right w:val="single" w:color="auto" w:sz="4" w:space="0"/>
            </w:tcBorders>
            <w:vAlign w:val="center"/>
          </w:tcPr>
          <w:p w14:paraId="5383A184">
            <w:pPr>
              <w:tabs>
                <w:tab w:val="left" w:pos="1820"/>
              </w:tabs>
              <w:spacing w:line="360" w:lineRule="auto"/>
              <w:rPr>
                <w:rFonts w:hint="eastAsia" w:ascii="宋体" w:hAnsi="宋体" w:eastAsia="宋体" w:cs="Times New Roman"/>
                <w:b/>
                <w:szCs w:val="21"/>
              </w:rPr>
            </w:pPr>
            <w:r>
              <w:rPr>
                <w:rFonts w:hint="eastAsia" w:ascii="宋体" w:hAnsi="宋体" w:eastAsia="宋体" w:cs="Times New Roman"/>
                <w:b/>
                <w:szCs w:val="21"/>
              </w:rPr>
              <w:t>报价说明</w:t>
            </w:r>
            <w:r>
              <w:rPr>
                <w:rFonts w:hint="eastAsia" w:ascii="宋体" w:hAnsi="宋体" w:eastAsia="宋体" w:cs="Times New Roman"/>
                <w:szCs w:val="21"/>
              </w:rPr>
              <w:t>：</w:t>
            </w:r>
          </w:p>
        </w:tc>
      </w:tr>
      <w:tr w14:paraId="36493C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247" w:type="pct"/>
            <w:tcBorders>
              <w:top w:val="single" w:color="auto" w:sz="4" w:space="0"/>
              <w:left w:val="single" w:color="auto" w:sz="4" w:space="0"/>
              <w:bottom w:val="single" w:color="auto" w:sz="4" w:space="0"/>
              <w:right w:val="single" w:color="auto" w:sz="4" w:space="0"/>
            </w:tcBorders>
            <w:vAlign w:val="center"/>
          </w:tcPr>
          <w:p w14:paraId="055AF737">
            <w:pPr>
              <w:keepNext w:val="0"/>
              <w:keepLines w:val="0"/>
              <w:widowControl/>
              <w:suppressLineNumbers w:val="0"/>
              <w:jc w:val="center"/>
              <w:textAlignment w:val="center"/>
              <w:rPr>
                <w:rFonts w:hint="eastAsia" w:ascii="宋体" w:hAnsi="宋体" w:eastAsia="宋体" w:cs="宋体"/>
                <w:b/>
                <w:color w:val="000000"/>
                <w:sz w:val="20"/>
                <w:szCs w:val="20"/>
              </w:rPr>
            </w:pPr>
            <w:r>
              <w:rPr>
                <w:rFonts w:hint="eastAsia" w:ascii="宋体" w:hAnsi="宋体" w:eastAsia="宋体" w:cs="宋体"/>
                <w:i w:val="0"/>
                <w:iCs w:val="0"/>
                <w:color w:val="000000"/>
                <w:kern w:val="0"/>
                <w:sz w:val="22"/>
                <w:szCs w:val="22"/>
                <w:u w:val="none"/>
                <w:lang w:val="en-US" w:eastAsia="zh-CN" w:bidi="ar"/>
              </w:rPr>
              <w:t>序号</w:t>
            </w:r>
          </w:p>
        </w:tc>
        <w:tc>
          <w:tcPr>
            <w:tcW w:w="665" w:type="pct"/>
            <w:gridSpan w:val="2"/>
            <w:tcBorders>
              <w:top w:val="single" w:color="auto" w:sz="4" w:space="0"/>
              <w:left w:val="single" w:color="auto" w:sz="4" w:space="0"/>
              <w:bottom w:val="single" w:color="auto" w:sz="4" w:space="0"/>
              <w:right w:val="single" w:color="auto" w:sz="4" w:space="0"/>
            </w:tcBorders>
            <w:vAlign w:val="center"/>
          </w:tcPr>
          <w:p w14:paraId="32C0B699">
            <w:pPr>
              <w:keepNext w:val="0"/>
              <w:keepLines w:val="0"/>
              <w:widowControl/>
              <w:suppressLineNumbers w:val="0"/>
              <w:jc w:val="center"/>
              <w:textAlignment w:val="center"/>
              <w:rPr>
                <w:rFonts w:hint="eastAsia" w:ascii="宋体" w:hAnsi="宋体" w:eastAsia="宋体" w:cs="宋体"/>
                <w:b/>
                <w:color w:val="000000"/>
                <w:sz w:val="20"/>
                <w:szCs w:val="20"/>
              </w:rPr>
            </w:pPr>
            <w:r>
              <w:rPr>
                <w:rFonts w:hint="eastAsia" w:ascii="宋体" w:hAnsi="宋体" w:eastAsia="宋体" w:cs="宋体"/>
                <w:i w:val="0"/>
                <w:iCs w:val="0"/>
                <w:color w:val="000000"/>
                <w:kern w:val="0"/>
                <w:sz w:val="22"/>
                <w:szCs w:val="22"/>
                <w:u w:val="none"/>
                <w:lang w:val="en-US" w:eastAsia="zh-CN" w:bidi="ar"/>
              </w:rPr>
              <w:t>采购品目</w:t>
            </w:r>
          </w:p>
        </w:tc>
        <w:tc>
          <w:tcPr>
            <w:tcW w:w="455" w:type="pct"/>
            <w:tcBorders>
              <w:top w:val="single" w:color="auto" w:sz="4" w:space="0"/>
              <w:left w:val="single" w:color="auto" w:sz="4" w:space="0"/>
              <w:bottom w:val="single" w:color="auto" w:sz="4" w:space="0"/>
              <w:right w:val="single" w:color="auto" w:sz="4" w:space="0"/>
            </w:tcBorders>
            <w:vAlign w:val="center"/>
          </w:tcPr>
          <w:p w14:paraId="1E581467">
            <w:pPr>
              <w:keepNext w:val="0"/>
              <w:keepLines w:val="0"/>
              <w:widowControl/>
              <w:suppressLineNumbers w:val="0"/>
              <w:jc w:val="center"/>
              <w:textAlignment w:val="center"/>
              <w:rPr>
                <w:rFonts w:hint="eastAsia" w:ascii="宋体" w:hAnsi="宋体" w:eastAsia="宋体" w:cs="宋体"/>
                <w:b/>
                <w:color w:val="000000"/>
                <w:sz w:val="20"/>
                <w:szCs w:val="20"/>
              </w:rPr>
            </w:pPr>
            <w:r>
              <w:rPr>
                <w:rFonts w:hint="eastAsia" w:ascii="宋体" w:hAnsi="宋体" w:eastAsia="宋体" w:cs="宋体"/>
                <w:i w:val="0"/>
                <w:iCs w:val="0"/>
                <w:color w:val="000000"/>
                <w:kern w:val="0"/>
                <w:sz w:val="22"/>
                <w:szCs w:val="22"/>
                <w:u w:val="none"/>
                <w:lang w:val="en-US" w:eastAsia="zh-CN" w:bidi="ar"/>
              </w:rPr>
              <w:t>参考品牌型号</w:t>
            </w:r>
          </w:p>
        </w:tc>
        <w:tc>
          <w:tcPr>
            <w:tcW w:w="949" w:type="pct"/>
            <w:tcBorders>
              <w:top w:val="single" w:color="auto" w:sz="4" w:space="0"/>
              <w:left w:val="single" w:color="auto" w:sz="4" w:space="0"/>
              <w:bottom w:val="single" w:color="auto" w:sz="4" w:space="0"/>
              <w:right w:val="single" w:color="auto" w:sz="4" w:space="0"/>
            </w:tcBorders>
            <w:vAlign w:val="center"/>
          </w:tcPr>
          <w:p w14:paraId="2B70EDA6">
            <w:pPr>
              <w:keepNext w:val="0"/>
              <w:keepLines w:val="0"/>
              <w:widowControl/>
              <w:suppressLineNumbers w:val="0"/>
              <w:jc w:val="center"/>
              <w:textAlignment w:val="center"/>
              <w:rPr>
                <w:rFonts w:hint="eastAsia" w:ascii="宋体" w:hAnsi="宋体" w:eastAsia="宋体" w:cs="宋体"/>
                <w:b/>
                <w:color w:val="000000"/>
                <w:sz w:val="20"/>
                <w:szCs w:val="20"/>
              </w:rPr>
            </w:pPr>
            <w:r>
              <w:rPr>
                <w:rFonts w:hint="eastAsia" w:ascii="宋体" w:hAnsi="宋体" w:eastAsia="宋体" w:cs="宋体"/>
                <w:i w:val="0"/>
                <w:iCs w:val="0"/>
                <w:color w:val="000000"/>
                <w:kern w:val="0"/>
                <w:sz w:val="22"/>
                <w:szCs w:val="22"/>
                <w:u w:val="none"/>
                <w:lang w:val="en-US" w:eastAsia="zh-CN" w:bidi="ar"/>
              </w:rPr>
              <w:t>参数配置</w:t>
            </w:r>
          </w:p>
        </w:tc>
        <w:tc>
          <w:tcPr>
            <w:tcW w:w="552" w:type="pct"/>
            <w:gridSpan w:val="2"/>
            <w:tcBorders>
              <w:top w:val="single" w:color="auto" w:sz="4" w:space="0"/>
              <w:left w:val="single" w:color="auto" w:sz="4" w:space="0"/>
              <w:bottom w:val="single" w:color="auto" w:sz="4" w:space="0"/>
              <w:right w:val="single" w:color="auto" w:sz="4" w:space="0"/>
            </w:tcBorders>
            <w:vAlign w:val="center"/>
          </w:tcPr>
          <w:p w14:paraId="44BB0027">
            <w:pPr>
              <w:keepNext w:val="0"/>
              <w:keepLines w:val="0"/>
              <w:widowControl/>
              <w:suppressLineNumbers w:val="0"/>
              <w:jc w:val="center"/>
              <w:textAlignment w:val="center"/>
              <w:rPr>
                <w:rFonts w:hint="eastAsia" w:ascii="宋体" w:hAnsi="宋体" w:eastAsia="宋体" w:cs="宋体"/>
                <w:b/>
                <w:color w:val="000000"/>
                <w:sz w:val="20"/>
                <w:szCs w:val="20"/>
              </w:rPr>
            </w:pPr>
            <w:r>
              <w:rPr>
                <w:rFonts w:hint="eastAsia" w:ascii="宋体" w:hAnsi="宋体" w:eastAsia="宋体" w:cs="宋体"/>
                <w:i w:val="0"/>
                <w:iCs w:val="0"/>
                <w:color w:val="000000"/>
                <w:kern w:val="0"/>
                <w:sz w:val="22"/>
                <w:szCs w:val="22"/>
                <w:u w:val="none"/>
                <w:lang w:val="en-US" w:eastAsia="zh-CN" w:bidi="ar"/>
              </w:rPr>
              <w:t>单位</w:t>
            </w:r>
          </w:p>
        </w:tc>
        <w:tc>
          <w:tcPr>
            <w:tcW w:w="560" w:type="pct"/>
            <w:tcBorders>
              <w:top w:val="single" w:color="auto" w:sz="4" w:space="0"/>
              <w:left w:val="single" w:color="auto" w:sz="4" w:space="0"/>
              <w:bottom w:val="single" w:color="auto" w:sz="4" w:space="0"/>
              <w:right w:val="single" w:color="auto" w:sz="4" w:space="0"/>
            </w:tcBorders>
            <w:vAlign w:val="center"/>
          </w:tcPr>
          <w:p w14:paraId="7DE19398">
            <w:pPr>
              <w:keepNext w:val="0"/>
              <w:keepLines w:val="0"/>
              <w:widowControl/>
              <w:suppressLineNumbers w:val="0"/>
              <w:jc w:val="center"/>
              <w:textAlignment w:val="center"/>
              <w:rPr>
                <w:rFonts w:hint="eastAsia" w:ascii="宋体" w:hAnsi="宋体" w:eastAsia="宋体" w:cs="宋体"/>
                <w:b/>
                <w:color w:val="000000"/>
                <w:sz w:val="20"/>
                <w:szCs w:val="20"/>
              </w:rPr>
            </w:pPr>
            <w:r>
              <w:rPr>
                <w:rFonts w:hint="eastAsia" w:ascii="宋体" w:hAnsi="宋体" w:eastAsia="宋体" w:cs="宋体"/>
                <w:i w:val="0"/>
                <w:iCs w:val="0"/>
                <w:color w:val="000000"/>
                <w:kern w:val="0"/>
                <w:sz w:val="22"/>
                <w:szCs w:val="22"/>
                <w:u w:val="none"/>
                <w:lang w:val="en-US" w:eastAsia="zh-CN" w:bidi="ar"/>
              </w:rPr>
              <w:t>数量</w:t>
            </w:r>
          </w:p>
        </w:tc>
        <w:tc>
          <w:tcPr>
            <w:tcW w:w="791" w:type="pct"/>
            <w:tcBorders>
              <w:top w:val="single" w:color="auto" w:sz="4" w:space="0"/>
              <w:left w:val="single" w:color="auto" w:sz="4" w:space="0"/>
              <w:bottom w:val="single" w:color="auto" w:sz="4" w:space="0"/>
              <w:right w:val="single" w:color="auto" w:sz="4" w:space="0"/>
            </w:tcBorders>
            <w:vAlign w:val="center"/>
          </w:tcPr>
          <w:p w14:paraId="4BCEF039">
            <w:pPr>
              <w:keepNext w:val="0"/>
              <w:keepLines w:val="0"/>
              <w:widowControl/>
              <w:suppressLineNumbers w:val="0"/>
              <w:jc w:val="center"/>
              <w:textAlignment w:val="center"/>
              <w:rPr>
                <w:rFonts w:hint="eastAsia" w:ascii="宋体" w:hAnsi="宋体" w:eastAsia="宋体" w:cs="宋体"/>
                <w:b/>
                <w:color w:val="000000"/>
                <w:sz w:val="20"/>
                <w:szCs w:val="20"/>
              </w:rPr>
            </w:pPr>
            <w:r>
              <w:rPr>
                <w:rFonts w:hint="eastAsia" w:ascii="宋体" w:hAnsi="宋体" w:eastAsia="宋体" w:cs="宋体"/>
                <w:i w:val="0"/>
                <w:iCs w:val="0"/>
                <w:color w:val="000000"/>
                <w:kern w:val="0"/>
                <w:sz w:val="22"/>
                <w:szCs w:val="22"/>
                <w:u w:val="none"/>
                <w:lang w:val="en-US" w:eastAsia="zh-CN" w:bidi="ar"/>
              </w:rPr>
              <w:t>参考单价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c>
          <w:tcPr>
            <w:tcW w:w="777" w:type="pct"/>
            <w:tcBorders>
              <w:top w:val="single" w:color="auto" w:sz="4" w:space="0"/>
              <w:left w:val="single" w:color="auto" w:sz="4" w:space="0"/>
              <w:bottom w:val="single" w:color="auto" w:sz="4" w:space="0"/>
              <w:right w:val="single" w:color="auto" w:sz="4" w:space="0"/>
            </w:tcBorders>
            <w:vAlign w:val="center"/>
          </w:tcPr>
          <w:p w14:paraId="3746CA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合计金额</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r>
      <w:tr w14:paraId="40B4A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47" w:type="pct"/>
            <w:tcBorders>
              <w:top w:val="single" w:color="auto" w:sz="4" w:space="0"/>
              <w:left w:val="single" w:color="auto" w:sz="4" w:space="0"/>
              <w:right w:val="single" w:color="auto" w:sz="4" w:space="0"/>
            </w:tcBorders>
            <w:vAlign w:val="center"/>
          </w:tcPr>
          <w:p w14:paraId="05D0B55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65"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22A8D84">
            <w:pPr>
              <w:widowControl/>
              <w:textAlignment w:val="center"/>
              <w:rPr>
                <w:rFonts w:ascii="宋体" w:hAnsi="宋体" w:eastAsia="宋体" w:cs="宋体"/>
                <w:b/>
                <w:color w:val="000000"/>
                <w:kern w:val="0"/>
                <w:szCs w:val="21"/>
              </w:rPr>
            </w:pPr>
          </w:p>
        </w:tc>
        <w:tc>
          <w:tcPr>
            <w:tcW w:w="455" w:type="pct"/>
            <w:tcBorders>
              <w:top w:val="single" w:color="auto" w:sz="4" w:space="0"/>
              <w:left w:val="single" w:color="auto" w:sz="4" w:space="0"/>
              <w:bottom w:val="single" w:color="auto" w:sz="4" w:space="0"/>
              <w:right w:val="single" w:color="auto" w:sz="4" w:space="0"/>
            </w:tcBorders>
            <w:vAlign w:val="center"/>
          </w:tcPr>
          <w:p w14:paraId="0FEA8741">
            <w:pPr>
              <w:widowControl/>
              <w:textAlignment w:val="center"/>
              <w:rPr>
                <w:rFonts w:ascii="宋体" w:hAnsi="宋体" w:eastAsia="宋体" w:cs="宋体"/>
                <w:color w:val="FF0000"/>
                <w:kern w:val="0"/>
                <w:szCs w:val="21"/>
              </w:rPr>
            </w:pPr>
          </w:p>
        </w:tc>
        <w:tc>
          <w:tcPr>
            <w:tcW w:w="949" w:type="pct"/>
            <w:tcBorders>
              <w:top w:val="single" w:color="auto" w:sz="4" w:space="0"/>
              <w:left w:val="single" w:color="auto" w:sz="4" w:space="0"/>
              <w:bottom w:val="single" w:color="auto" w:sz="4" w:space="0"/>
              <w:right w:val="single" w:color="auto" w:sz="4" w:space="0"/>
            </w:tcBorders>
            <w:vAlign w:val="center"/>
          </w:tcPr>
          <w:p w14:paraId="6AEA2C7F">
            <w:pPr>
              <w:widowControl/>
              <w:textAlignment w:val="center"/>
              <w:rPr>
                <w:rFonts w:ascii="宋体" w:hAnsi="宋体" w:eastAsia="宋体" w:cs="宋体"/>
                <w:color w:val="FF0000"/>
                <w:kern w:val="0"/>
                <w:szCs w:val="21"/>
              </w:rPr>
            </w:pPr>
          </w:p>
        </w:tc>
        <w:tc>
          <w:tcPr>
            <w:tcW w:w="552" w:type="pct"/>
            <w:gridSpan w:val="2"/>
            <w:tcBorders>
              <w:top w:val="single" w:color="auto" w:sz="4" w:space="0"/>
              <w:left w:val="single" w:color="auto" w:sz="4" w:space="0"/>
              <w:bottom w:val="single" w:color="auto" w:sz="4" w:space="0"/>
              <w:right w:val="single" w:color="auto" w:sz="4" w:space="0"/>
            </w:tcBorders>
            <w:vAlign w:val="center"/>
          </w:tcPr>
          <w:p w14:paraId="741CD6DD">
            <w:pPr>
              <w:widowControl/>
              <w:textAlignment w:val="center"/>
              <w:rPr>
                <w:rFonts w:ascii="宋体" w:hAnsi="宋体" w:eastAsia="宋体" w:cs="宋体"/>
                <w:color w:val="FF0000"/>
                <w:kern w:val="0"/>
                <w:szCs w:val="21"/>
              </w:rPr>
            </w:pPr>
          </w:p>
        </w:tc>
        <w:tc>
          <w:tcPr>
            <w:tcW w:w="560" w:type="pct"/>
            <w:tcBorders>
              <w:top w:val="single" w:color="auto" w:sz="4" w:space="0"/>
              <w:left w:val="single" w:color="auto" w:sz="4" w:space="0"/>
              <w:bottom w:val="single" w:color="auto" w:sz="4" w:space="0"/>
              <w:right w:val="single" w:color="auto" w:sz="4" w:space="0"/>
            </w:tcBorders>
            <w:vAlign w:val="center"/>
          </w:tcPr>
          <w:p w14:paraId="68BA00D0">
            <w:pPr>
              <w:widowControl/>
              <w:textAlignment w:val="center"/>
              <w:rPr>
                <w:rFonts w:ascii="宋体" w:hAnsi="宋体" w:eastAsia="宋体" w:cs="宋体"/>
                <w:color w:val="FF0000"/>
                <w:kern w:val="0"/>
                <w:szCs w:val="21"/>
              </w:rPr>
            </w:pPr>
          </w:p>
        </w:tc>
        <w:tc>
          <w:tcPr>
            <w:tcW w:w="791" w:type="pct"/>
            <w:tcBorders>
              <w:top w:val="single" w:color="auto" w:sz="4" w:space="0"/>
              <w:left w:val="single" w:color="auto" w:sz="4" w:space="0"/>
              <w:bottom w:val="single" w:color="auto" w:sz="4" w:space="0"/>
              <w:right w:val="single" w:color="auto" w:sz="4" w:space="0"/>
            </w:tcBorders>
            <w:vAlign w:val="center"/>
          </w:tcPr>
          <w:p w14:paraId="3F944C8B">
            <w:pPr>
              <w:widowControl/>
              <w:textAlignment w:val="center"/>
              <w:rPr>
                <w:rFonts w:ascii="宋体" w:hAnsi="宋体" w:eastAsia="宋体" w:cs="宋体"/>
                <w:color w:val="FF0000"/>
                <w:kern w:val="0"/>
                <w:szCs w:val="21"/>
              </w:rPr>
            </w:pPr>
          </w:p>
        </w:tc>
        <w:tc>
          <w:tcPr>
            <w:tcW w:w="777" w:type="pct"/>
            <w:tcBorders>
              <w:top w:val="single" w:color="auto" w:sz="4" w:space="0"/>
              <w:left w:val="single" w:color="auto" w:sz="4" w:space="0"/>
              <w:bottom w:val="single" w:color="auto" w:sz="4" w:space="0"/>
              <w:right w:val="single" w:color="auto" w:sz="4" w:space="0"/>
            </w:tcBorders>
            <w:vAlign w:val="center"/>
          </w:tcPr>
          <w:p w14:paraId="5216748E">
            <w:pPr>
              <w:widowControl/>
              <w:textAlignment w:val="center"/>
              <w:rPr>
                <w:rFonts w:ascii="宋体" w:hAnsi="宋体" w:eastAsia="宋体" w:cs="宋体"/>
                <w:color w:val="FF0000"/>
                <w:kern w:val="0"/>
                <w:szCs w:val="21"/>
              </w:rPr>
            </w:pPr>
          </w:p>
        </w:tc>
      </w:tr>
      <w:tr w14:paraId="0C54E4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47" w:type="pct"/>
            <w:tcBorders>
              <w:top w:val="single" w:color="auto" w:sz="4" w:space="0"/>
              <w:left w:val="single" w:color="auto" w:sz="4" w:space="0"/>
              <w:right w:val="single" w:color="auto" w:sz="4" w:space="0"/>
            </w:tcBorders>
            <w:vAlign w:val="center"/>
          </w:tcPr>
          <w:p w14:paraId="780C886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65" w:type="pct"/>
            <w:gridSpan w:val="2"/>
            <w:tcBorders>
              <w:top w:val="nil"/>
              <w:left w:val="single" w:color="auto" w:sz="4" w:space="0"/>
              <w:bottom w:val="single" w:color="auto" w:sz="4" w:space="0"/>
              <w:right w:val="single" w:color="auto" w:sz="4" w:space="0"/>
            </w:tcBorders>
            <w:shd w:val="clear" w:color="000000" w:fill="FFFFFF"/>
            <w:vAlign w:val="center"/>
          </w:tcPr>
          <w:p w14:paraId="06B7C525">
            <w:pPr>
              <w:widowControl/>
              <w:jc w:val="center"/>
              <w:textAlignment w:val="center"/>
              <w:rPr>
                <w:rFonts w:ascii="宋体" w:hAnsi="宋体" w:eastAsia="宋体" w:cs="宋体"/>
                <w:b/>
                <w:color w:val="000000"/>
                <w:kern w:val="0"/>
                <w:szCs w:val="21"/>
              </w:rPr>
            </w:pPr>
          </w:p>
        </w:tc>
        <w:tc>
          <w:tcPr>
            <w:tcW w:w="455" w:type="pct"/>
            <w:tcBorders>
              <w:top w:val="single" w:color="auto" w:sz="4" w:space="0"/>
              <w:left w:val="single" w:color="auto" w:sz="4" w:space="0"/>
              <w:bottom w:val="single" w:color="auto" w:sz="4" w:space="0"/>
              <w:right w:val="single" w:color="auto" w:sz="4" w:space="0"/>
            </w:tcBorders>
            <w:vAlign w:val="center"/>
          </w:tcPr>
          <w:p w14:paraId="45B0202D">
            <w:pPr>
              <w:widowControl/>
              <w:jc w:val="center"/>
              <w:textAlignment w:val="center"/>
              <w:rPr>
                <w:rFonts w:ascii="宋体" w:hAnsi="宋体" w:eastAsia="宋体" w:cs="宋体"/>
                <w:color w:val="FF0000"/>
                <w:kern w:val="0"/>
                <w:szCs w:val="21"/>
              </w:rPr>
            </w:pPr>
          </w:p>
        </w:tc>
        <w:tc>
          <w:tcPr>
            <w:tcW w:w="949" w:type="pct"/>
            <w:tcBorders>
              <w:top w:val="single" w:color="auto" w:sz="4" w:space="0"/>
              <w:left w:val="single" w:color="auto" w:sz="4" w:space="0"/>
              <w:bottom w:val="single" w:color="auto" w:sz="4" w:space="0"/>
              <w:right w:val="single" w:color="auto" w:sz="4" w:space="0"/>
            </w:tcBorders>
            <w:vAlign w:val="center"/>
          </w:tcPr>
          <w:p w14:paraId="4BAE692F">
            <w:pPr>
              <w:widowControl/>
              <w:jc w:val="center"/>
              <w:textAlignment w:val="center"/>
              <w:rPr>
                <w:rFonts w:ascii="宋体" w:hAnsi="宋体" w:eastAsia="宋体" w:cs="宋体"/>
                <w:color w:val="FF0000"/>
                <w:kern w:val="0"/>
                <w:szCs w:val="21"/>
              </w:rPr>
            </w:pPr>
          </w:p>
        </w:tc>
        <w:tc>
          <w:tcPr>
            <w:tcW w:w="552" w:type="pct"/>
            <w:gridSpan w:val="2"/>
            <w:tcBorders>
              <w:top w:val="single" w:color="auto" w:sz="4" w:space="0"/>
              <w:left w:val="single" w:color="auto" w:sz="4" w:space="0"/>
              <w:bottom w:val="single" w:color="auto" w:sz="4" w:space="0"/>
              <w:right w:val="single" w:color="auto" w:sz="4" w:space="0"/>
            </w:tcBorders>
            <w:vAlign w:val="center"/>
          </w:tcPr>
          <w:p w14:paraId="771B9C22">
            <w:pPr>
              <w:widowControl/>
              <w:jc w:val="center"/>
              <w:textAlignment w:val="center"/>
              <w:rPr>
                <w:rFonts w:ascii="宋体" w:hAnsi="宋体" w:eastAsia="宋体" w:cs="宋体"/>
                <w:color w:val="FF0000"/>
                <w:kern w:val="0"/>
                <w:szCs w:val="21"/>
              </w:rPr>
            </w:pPr>
          </w:p>
        </w:tc>
        <w:tc>
          <w:tcPr>
            <w:tcW w:w="560" w:type="pct"/>
            <w:tcBorders>
              <w:top w:val="single" w:color="auto" w:sz="4" w:space="0"/>
              <w:left w:val="single" w:color="auto" w:sz="4" w:space="0"/>
              <w:bottom w:val="single" w:color="auto" w:sz="4" w:space="0"/>
              <w:right w:val="single" w:color="auto" w:sz="4" w:space="0"/>
            </w:tcBorders>
            <w:vAlign w:val="center"/>
          </w:tcPr>
          <w:p w14:paraId="2A8A858C">
            <w:pPr>
              <w:widowControl/>
              <w:jc w:val="center"/>
              <w:textAlignment w:val="center"/>
              <w:rPr>
                <w:rFonts w:ascii="宋体" w:hAnsi="宋体" w:eastAsia="宋体" w:cs="宋体"/>
                <w:color w:val="FF0000"/>
                <w:kern w:val="0"/>
                <w:szCs w:val="21"/>
              </w:rPr>
            </w:pPr>
          </w:p>
        </w:tc>
        <w:tc>
          <w:tcPr>
            <w:tcW w:w="791" w:type="pct"/>
            <w:tcBorders>
              <w:top w:val="single" w:color="auto" w:sz="4" w:space="0"/>
              <w:left w:val="single" w:color="auto" w:sz="4" w:space="0"/>
              <w:bottom w:val="single" w:color="auto" w:sz="4" w:space="0"/>
              <w:right w:val="single" w:color="auto" w:sz="4" w:space="0"/>
            </w:tcBorders>
            <w:vAlign w:val="center"/>
          </w:tcPr>
          <w:p w14:paraId="354FF36A">
            <w:pPr>
              <w:widowControl/>
              <w:jc w:val="center"/>
              <w:textAlignment w:val="center"/>
              <w:rPr>
                <w:rFonts w:ascii="宋体" w:hAnsi="宋体" w:eastAsia="宋体" w:cs="宋体"/>
                <w:color w:val="FF0000"/>
                <w:kern w:val="0"/>
                <w:szCs w:val="21"/>
              </w:rPr>
            </w:pPr>
          </w:p>
        </w:tc>
        <w:tc>
          <w:tcPr>
            <w:tcW w:w="777" w:type="pct"/>
            <w:tcBorders>
              <w:top w:val="single" w:color="auto" w:sz="4" w:space="0"/>
              <w:left w:val="single" w:color="auto" w:sz="4" w:space="0"/>
              <w:bottom w:val="single" w:color="auto" w:sz="4" w:space="0"/>
              <w:right w:val="single" w:color="auto" w:sz="4" w:space="0"/>
            </w:tcBorders>
            <w:vAlign w:val="center"/>
          </w:tcPr>
          <w:p w14:paraId="4DC15704">
            <w:pPr>
              <w:widowControl/>
              <w:jc w:val="center"/>
              <w:textAlignment w:val="center"/>
              <w:rPr>
                <w:rFonts w:ascii="宋体" w:hAnsi="宋体" w:eastAsia="宋体" w:cs="宋体"/>
                <w:color w:val="FF0000"/>
                <w:kern w:val="0"/>
                <w:szCs w:val="21"/>
              </w:rPr>
            </w:pPr>
          </w:p>
        </w:tc>
      </w:tr>
      <w:tr w14:paraId="0790D8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47" w:type="pct"/>
            <w:tcBorders>
              <w:top w:val="single" w:color="auto" w:sz="4" w:space="0"/>
              <w:left w:val="single" w:color="auto" w:sz="4" w:space="0"/>
              <w:right w:val="single" w:color="auto" w:sz="4" w:space="0"/>
            </w:tcBorders>
            <w:vAlign w:val="center"/>
          </w:tcPr>
          <w:p w14:paraId="303DE98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665" w:type="pct"/>
            <w:gridSpan w:val="2"/>
            <w:tcBorders>
              <w:top w:val="nil"/>
              <w:left w:val="single" w:color="auto" w:sz="4" w:space="0"/>
              <w:bottom w:val="single" w:color="auto" w:sz="4" w:space="0"/>
              <w:right w:val="single" w:color="auto" w:sz="4" w:space="0"/>
            </w:tcBorders>
            <w:shd w:val="clear" w:color="000000" w:fill="FFFFFF"/>
            <w:vAlign w:val="center"/>
          </w:tcPr>
          <w:p w14:paraId="7B1D5B61">
            <w:pPr>
              <w:widowControl/>
              <w:jc w:val="center"/>
              <w:textAlignment w:val="center"/>
              <w:rPr>
                <w:rFonts w:ascii="宋体" w:hAnsi="宋体" w:eastAsia="宋体" w:cs="宋体"/>
                <w:b/>
                <w:color w:val="000000"/>
                <w:kern w:val="0"/>
                <w:szCs w:val="21"/>
              </w:rPr>
            </w:pPr>
          </w:p>
        </w:tc>
        <w:tc>
          <w:tcPr>
            <w:tcW w:w="455" w:type="pct"/>
            <w:tcBorders>
              <w:top w:val="nil"/>
              <w:left w:val="single" w:color="auto" w:sz="4" w:space="0"/>
              <w:bottom w:val="single" w:color="auto" w:sz="4" w:space="0"/>
              <w:right w:val="single" w:color="auto" w:sz="4" w:space="0"/>
            </w:tcBorders>
            <w:vAlign w:val="center"/>
          </w:tcPr>
          <w:p w14:paraId="47F4103B">
            <w:pPr>
              <w:widowControl/>
              <w:jc w:val="center"/>
              <w:textAlignment w:val="center"/>
              <w:rPr>
                <w:rFonts w:ascii="宋体" w:hAnsi="宋体" w:eastAsia="宋体" w:cs="宋体"/>
                <w:color w:val="FF0000"/>
                <w:kern w:val="0"/>
                <w:szCs w:val="21"/>
              </w:rPr>
            </w:pPr>
          </w:p>
        </w:tc>
        <w:tc>
          <w:tcPr>
            <w:tcW w:w="949" w:type="pct"/>
            <w:tcBorders>
              <w:top w:val="nil"/>
              <w:left w:val="single" w:color="auto" w:sz="4" w:space="0"/>
              <w:bottom w:val="single" w:color="auto" w:sz="4" w:space="0"/>
              <w:right w:val="single" w:color="auto" w:sz="4" w:space="0"/>
            </w:tcBorders>
            <w:vAlign w:val="center"/>
          </w:tcPr>
          <w:p w14:paraId="308A2A20">
            <w:pPr>
              <w:widowControl/>
              <w:jc w:val="center"/>
              <w:textAlignment w:val="center"/>
              <w:rPr>
                <w:rFonts w:ascii="宋体" w:hAnsi="宋体" w:eastAsia="宋体" w:cs="宋体"/>
                <w:color w:val="FF0000"/>
                <w:kern w:val="0"/>
                <w:szCs w:val="21"/>
              </w:rPr>
            </w:pPr>
          </w:p>
        </w:tc>
        <w:tc>
          <w:tcPr>
            <w:tcW w:w="552" w:type="pct"/>
            <w:gridSpan w:val="2"/>
            <w:tcBorders>
              <w:top w:val="nil"/>
              <w:left w:val="single" w:color="auto" w:sz="4" w:space="0"/>
              <w:bottom w:val="single" w:color="auto" w:sz="4" w:space="0"/>
              <w:right w:val="single" w:color="auto" w:sz="4" w:space="0"/>
            </w:tcBorders>
            <w:vAlign w:val="center"/>
          </w:tcPr>
          <w:p w14:paraId="4C242E27">
            <w:pPr>
              <w:widowControl/>
              <w:jc w:val="center"/>
              <w:textAlignment w:val="center"/>
              <w:rPr>
                <w:rFonts w:ascii="宋体" w:hAnsi="宋体" w:eastAsia="宋体" w:cs="宋体"/>
                <w:color w:val="FF0000"/>
                <w:kern w:val="0"/>
                <w:szCs w:val="21"/>
              </w:rPr>
            </w:pPr>
          </w:p>
        </w:tc>
        <w:tc>
          <w:tcPr>
            <w:tcW w:w="560" w:type="pct"/>
            <w:tcBorders>
              <w:top w:val="nil"/>
              <w:left w:val="single" w:color="auto" w:sz="4" w:space="0"/>
              <w:bottom w:val="single" w:color="auto" w:sz="4" w:space="0"/>
              <w:right w:val="single" w:color="auto" w:sz="4" w:space="0"/>
            </w:tcBorders>
            <w:vAlign w:val="center"/>
          </w:tcPr>
          <w:p w14:paraId="5624422F">
            <w:pPr>
              <w:widowControl/>
              <w:jc w:val="center"/>
              <w:textAlignment w:val="center"/>
              <w:rPr>
                <w:rFonts w:ascii="宋体" w:hAnsi="宋体" w:eastAsia="宋体" w:cs="宋体"/>
                <w:color w:val="FF0000"/>
                <w:kern w:val="0"/>
                <w:szCs w:val="21"/>
              </w:rPr>
            </w:pPr>
          </w:p>
        </w:tc>
        <w:tc>
          <w:tcPr>
            <w:tcW w:w="791" w:type="pct"/>
            <w:tcBorders>
              <w:top w:val="nil"/>
              <w:left w:val="single" w:color="auto" w:sz="4" w:space="0"/>
              <w:bottom w:val="single" w:color="auto" w:sz="4" w:space="0"/>
              <w:right w:val="single" w:color="auto" w:sz="4" w:space="0"/>
            </w:tcBorders>
            <w:vAlign w:val="center"/>
          </w:tcPr>
          <w:p w14:paraId="3794AB97">
            <w:pPr>
              <w:widowControl/>
              <w:jc w:val="center"/>
              <w:textAlignment w:val="center"/>
              <w:rPr>
                <w:rFonts w:ascii="宋体" w:hAnsi="宋体" w:eastAsia="宋体" w:cs="宋体"/>
                <w:color w:val="FF0000"/>
                <w:kern w:val="0"/>
                <w:szCs w:val="21"/>
              </w:rPr>
            </w:pPr>
          </w:p>
        </w:tc>
        <w:tc>
          <w:tcPr>
            <w:tcW w:w="777" w:type="pct"/>
            <w:tcBorders>
              <w:top w:val="nil"/>
              <w:left w:val="single" w:color="auto" w:sz="4" w:space="0"/>
              <w:bottom w:val="single" w:color="auto" w:sz="4" w:space="0"/>
              <w:right w:val="single" w:color="auto" w:sz="4" w:space="0"/>
            </w:tcBorders>
            <w:vAlign w:val="center"/>
          </w:tcPr>
          <w:p w14:paraId="0F334B09">
            <w:pPr>
              <w:widowControl/>
              <w:jc w:val="center"/>
              <w:textAlignment w:val="center"/>
              <w:rPr>
                <w:rFonts w:ascii="宋体" w:hAnsi="宋体" w:eastAsia="宋体" w:cs="宋体"/>
                <w:color w:val="FF0000"/>
                <w:kern w:val="0"/>
                <w:szCs w:val="21"/>
              </w:rPr>
            </w:pPr>
          </w:p>
        </w:tc>
      </w:tr>
      <w:tr w14:paraId="6556B0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5000" w:type="pct"/>
            <w:gridSpan w:val="10"/>
            <w:tcBorders>
              <w:top w:val="single" w:color="auto" w:sz="4" w:space="0"/>
              <w:left w:val="single" w:color="auto" w:sz="4" w:space="0"/>
              <w:bottom w:val="single" w:color="auto" w:sz="4" w:space="0"/>
              <w:right w:val="single" w:color="auto" w:sz="4" w:space="0"/>
            </w:tcBorders>
            <w:vAlign w:val="center"/>
          </w:tcPr>
          <w:p w14:paraId="78E27987">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报价总价大写：                    小写人民币：  元</w:t>
            </w:r>
          </w:p>
        </w:tc>
      </w:tr>
      <w:tr w14:paraId="5B3389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5000" w:type="pct"/>
            <w:gridSpan w:val="10"/>
            <w:tcBorders>
              <w:top w:val="single" w:color="auto" w:sz="4" w:space="0"/>
              <w:left w:val="single" w:color="auto" w:sz="4" w:space="0"/>
              <w:bottom w:val="single" w:color="auto" w:sz="4" w:space="0"/>
              <w:right w:val="single" w:color="auto" w:sz="4" w:space="0"/>
            </w:tcBorders>
            <w:vAlign w:val="center"/>
          </w:tcPr>
          <w:p w14:paraId="024E0A8B">
            <w:pPr>
              <w:autoSpaceDE w:val="0"/>
              <w:autoSpaceDN w:val="0"/>
              <w:adjustRightInd w:val="0"/>
              <w:spacing w:line="360" w:lineRule="auto"/>
              <w:jc w:val="left"/>
              <w:rPr>
                <w:rFonts w:hint="eastAsia" w:ascii="宋体" w:hAnsi="宋体" w:eastAsia="宋体" w:cs="宋体"/>
                <w:kern w:val="0"/>
                <w:szCs w:val="21"/>
              </w:rPr>
            </w:pPr>
            <w:r>
              <w:rPr>
                <w:rFonts w:hint="eastAsia" w:ascii="宋体" w:hAnsi="宋体" w:eastAsia="宋体" w:cs="宋体"/>
                <w:b/>
                <w:bCs/>
                <w:kern w:val="0"/>
                <w:szCs w:val="21"/>
                <w:lang w:val="en-US" w:eastAsia="zh-CN"/>
              </w:rPr>
              <w:t>四</w:t>
            </w:r>
            <w:r>
              <w:rPr>
                <w:rFonts w:hint="eastAsia" w:ascii="宋体" w:hAnsi="宋体" w:eastAsia="宋体" w:cs="宋体"/>
                <w:b/>
                <w:bCs/>
                <w:kern w:val="0"/>
                <w:szCs w:val="21"/>
              </w:rPr>
              <w:t>、商务</w:t>
            </w:r>
            <w:r>
              <w:rPr>
                <w:rFonts w:hint="eastAsia" w:ascii="宋体" w:hAnsi="宋体" w:eastAsia="宋体" w:cs="宋体"/>
                <w:b/>
                <w:bCs/>
                <w:kern w:val="0"/>
                <w:szCs w:val="21"/>
                <w:lang w:val="en-US" w:eastAsia="zh-CN"/>
              </w:rPr>
              <w:t>要求</w:t>
            </w:r>
          </w:p>
        </w:tc>
      </w:tr>
      <w:tr w14:paraId="2321E2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12" w:type="pct"/>
            <w:gridSpan w:val="3"/>
            <w:tcBorders>
              <w:top w:val="single" w:color="auto" w:sz="4" w:space="0"/>
              <w:left w:val="single" w:color="auto" w:sz="4" w:space="0"/>
              <w:bottom w:val="single" w:color="auto" w:sz="4" w:space="0"/>
              <w:right w:val="single" w:color="auto" w:sz="4" w:space="0"/>
            </w:tcBorders>
            <w:vAlign w:val="center"/>
          </w:tcPr>
          <w:p w14:paraId="1B9B28BF">
            <w:pPr>
              <w:jc w:val="center"/>
              <w:rPr>
                <w:rFonts w:hint="eastAsia" w:ascii="宋体" w:hAnsi="宋体" w:eastAsia="宋体" w:cs="宋体"/>
                <w:kern w:val="0"/>
                <w:szCs w:val="21"/>
              </w:rPr>
            </w:pPr>
            <w:r>
              <w:rPr>
                <w:rFonts w:hint="eastAsia" w:ascii="宋体" w:hAnsi="宋体" w:eastAsia="宋体" w:cs="宋体"/>
                <w:b/>
                <w:bCs/>
                <w:szCs w:val="21"/>
              </w:rPr>
              <w:t>质保期</w:t>
            </w:r>
          </w:p>
        </w:tc>
        <w:tc>
          <w:tcPr>
            <w:tcW w:w="4087" w:type="pct"/>
            <w:gridSpan w:val="7"/>
            <w:tcBorders>
              <w:top w:val="single" w:color="auto" w:sz="4" w:space="0"/>
              <w:left w:val="single" w:color="auto" w:sz="4" w:space="0"/>
              <w:bottom w:val="single" w:color="auto" w:sz="4" w:space="0"/>
              <w:right w:val="single" w:color="auto" w:sz="4" w:space="0"/>
            </w:tcBorders>
            <w:vAlign w:val="center"/>
          </w:tcPr>
          <w:p w14:paraId="6CDFFEAF">
            <w:pPr>
              <w:rPr>
                <w:rFonts w:hint="eastAsia" w:ascii="宋体" w:hAnsi="宋体" w:eastAsia="宋体" w:cs="宋体"/>
                <w:szCs w:val="21"/>
              </w:rPr>
            </w:pPr>
            <w:r>
              <w:rPr>
                <w:rFonts w:hint="eastAsia" w:ascii="宋体" w:hAnsi="宋体" w:eastAsia="宋体" w:cs="宋体"/>
                <w:b/>
                <w:szCs w:val="21"/>
              </w:rPr>
              <w:t>1.质保期</w:t>
            </w:r>
            <w:r>
              <w:rPr>
                <w:rFonts w:hint="eastAsia" w:ascii="宋体" w:hAnsi="宋体" w:eastAsia="宋体" w:cs="宋体"/>
                <w:b/>
                <w:szCs w:val="21"/>
                <w:u w:val="single"/>
              </w:rPr>
              <w:t xml:space="preserve"> 1 </w:t>
            </w:r>
            <w:r>
              <w:rPr>
                <w:rFonts w:hint="eastAsia" w:ascii="宋体" w:hAnsi="宋体" w:eastAsia="宋体" w:cs="宋体"/>
                <w:b/>
                <w:szCs w:val="21"/>
              </w:rPr>
              <w:t>年。</w:t>
            </w:r>
            <w:r>
              <w:rPr>
                <w:rFonts w:hint="eastAsia" w:ascii="宋体" w:hAnsi="宋体" w:eastAsia="宋体" w:cs="宋体"/>
                <w:szCs w:val="21"/>
              </w:rPr>
              <w:t>（分项货物服务要求中有特别注明的，按特别注明的执行）</w:t>
            </w:r>
          </w:p>
          <w:p w14:paraId="467C3E95">
            <w:pPr>
              <w:rPr>
                <w:rFonts w:hint="eastAsia" w:ascii="宋体" w:hAnsi="宋体" w:eastAsia="宋体" w:cs="宋体"/>
                <w:kern w:val="0"/>
                <w:szCs w:val="21"/>
              </w:rPr>
            </w:pPr>
            <w:r>
              <w:rPr>
                <w:rFonts w:hint="eastAsia" w:ascii="宋体" w:hAnsi="宋体" w:eastAsia="宋体" w:cs="宋体"/>
                <w:szCs w:val="21"/>
              </w:rPr>
              <w:t>2.所有货物服务按国家“三包”有关规定执行“三包”。质保期自交付验收合格之日起计算，质保期内提供上门维修；质保期结束后，提供终身维护，并优惠提供相关零配件。</w:t>
            </w:r>
          </w:p>
        </w:tc>
      </w:tr>
      <w:tr w14:paraId="006281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12" w:type="pct"/>
            <w:gridSpan w:val="3"/>
            <w:tcBorders>
              <w:top w:val="single" w:color="auto" w:sz="4" w:space="0"/>
              <w:left w:val="single" w:color="auto" w:sz="4" w:space="0"/>
              <w:bottom w:val="single" w:color="auto" w:sz="4" w:space="0"/>
              <w:right w:val="single" w:color="auto" w:sz="4" w:space="0"/>
            </w:tcBorders>
            <w:vAlign w:val="center"/>
          </w:tcPr>
          <w:p w14:paraId="7639216A">
            <w:pPr>
              <w:jc w:val="center"/>
              <w:rPr>
                <w:rFonts w:hint="eastAsia" w:ascii="宋体" w:hAnsi="宋体" w:eastAsia="宋体" w:cs="宋体"/>
                <w:kern w:val="0"/>
                <w:szCs w:val="21"/>
              </w:rPr>
            </w:pPr>
            <w:r>
              <w:rPr>
                <w:rFonts w:hint="eastAsia" w:ascii="宋体" w:hAnsi="宋体" w:eastAsia="宋体" w:cs="宋体"/>
                <w:b/>
                <w:bCs/>
                <w:szCs w:val="21"/>
              </w:rPr>
              <w:t>产品及售后服务要求</w:t>
            </w:r>
          </w:p>
        </w:tc>
        <w:tc>
          <w:tcPr>
            <w:tcW w:w="4087" w:type="pct"/>
            <w:gridSpan w:val="7"/>
            <w:tcBorders>
              <w:top w:val="single" w:color="auto" w:sz="4" w:space="0"/>
              <w:left w:val="single" w:color="auto" w:sz="4" w:space="0"/>
              <w:bottom w:val="single" w:color="auto" w:sz="4" w:space="0"/>
              <w:right w:val="single" w:color="auto" w:sz="4" w:space="0"/>
            </w:tcBorders>
            <w:vAlign w:val="center"/>
          </w:tcPr>
          <w:p w14:paraId="329CD481">
            <w:pPr>
              <w:rPr>
                <w:rFonts w:hint="eastAsia" w:ascii="宋体" w:hAnsi="宋体" w:eastAsia="宋体" w:cs="宋体"/>
                <w:szCs w:val="21"/>
              </w:rPr>
            </w:pPr>
            <w:r>
              <w:rPr>
                <w:rFonts w:hint="eastAsia" w:ascii="宋体" w:hAnsi="宋体" w:eastAsia="宋体" w:cs="宋体"/>
                <w:szCs w:val="21"/>
              </w:rPr>
              <w:t>1.成交人交付的所有</w:t>
            </w:r>
            <w:r>
              <w:rPr>
                <w:rFonts w:hint="eastAsia" w:ascii="宋体" w:hAnsi="宋体" w:eastAsia="宋体" w:cs="宋体"/>
                <w:b/>
                <w:szCs w:val="21"/>
              </w:rPr>
              <w:t>设备</w:t>
            </w:r>
            <w:r>
              <w:rPr>
                <w:rFonts w:hint="eastAsia" w:ascii="宋体" w:hAnsi="宋体" w:eastAsia="宋体" w:cs="宋体"/>
                <w:szCs w:val="21"/>
              </w:rPr>
              <w:t>必须是签订合同之日近</w:t>
            </w:r>
            <w:r>
              <w:rPr>
                <w:rFonts w:hint="eastAsia" w:ascii="宋体" w:hAnsi="宋体" w:eastAsia="宋体" w:cs="宋体"/>
                <w:b/>
                <w:szCs w:val="21"/>
                <w:u w:val="single"/>
              </w:rPr>
              <w:t xml:space="preserve">  1  </w:t>
            </w:r>
            <w:r>
              <w:rPr>
                <w:rFonts w:hint="eastAsia" w:ascii="宋体" w:hAnsi="宋体" w:eastAsia="宋体" w:cs="宋体"/>
                <w:b/>
                <w:szCs w:val="21"/>
              </w:rPr>
              <w:t>年</w:t>
            </w:r>
            <w:r>
              <w:rPr>
                <w:rFonts w:hint="eastAsia" w:ascii="宋体" w:hAnsi="宋体" w:eastAsia="宋体" w:cs="宋体"/>
                <w:szCs w:val="21"/>
              </w:rPr>
              <w:t>内生产的产品。</w:t>
            </w:r>
          </w:p>
          <w:p w14:paraId="0EFF6B1C">
            <w:pPr>
              <w:rPr>
                <w:rFonts w:hint="eastAsia" w:ascii="宋体" w:hAnsi="宋体" w:eastAsia="宋体" w:cs="宋体"/>
                <w:b/>
                <w:szCs w:val="21"/>
              </w:rPr>
            </w:pPr>
            <w:r>
              <w:rPr>
                <w:rFonts w:hint="eastAsia" w:ascii="宋体" w:hAnsi="宋体" w:eastAsia="宋体" w:cs="宋体"/>
                <w:szCs w:val="21"/>
              </w:rPr>
              <w:t>2.送货至采购人指定地点，协助进行安装场地设计，完成安装和调试。所有安装应符合国家、行业相关标准及规范。</w:t>
            </w:r>
            <w:r>
              <w:rPr>
                <w:rFonts w:hint="eastAsia" w:ascii="宋体" w:hAnsi="宋体" w:eastAsia="宋体" w:cs="宋体"/>
                <w:b/>
                <w:szCs w:val="21"/>
              </w:rPr>
              <w:t>（所有货物仅接受现场交付，不接受邮递）</w:t>
            </w:r>
          </w:p>
          <w:p w14:paraId="2107776D">
            <w:pPr>
              <w:rPr>
                <w:rFonts w:hint="eastAsia" w:ascii="宋体" w:hAnsi="宋体" w:eastAsia="宋体" w:cs="宋体"/>
                <w:szCs w:val="21"/>
              </w:rPr>
            </w:pPr>
            <w:r>
              <w:rPr>
                <w:rFonts w:hint="eastAsia" w:ascii="宋体" w:hAnsi="宋体" w:eastAsia="宋体" w:cs="宋体"/>
                <w:szCs w:val="21"/>
              </w:rPr>
              <w:t>3.为采购人提供产品操作、维修、日常养护等方面的培训，确保采购方使用人员能独立操作使用，培训人数、时间、地点等由采购人指定。</w:t>
            </w:r>
          </w:p>
          <w:p w14:paraId="45DB9D8B">
            <w:pPr>
              <w:spacing w:line="380" w:lineRule="exact"/>
              <w:rPr>
                <w:rFonts w:hint="eastAsia" w:ascii="宋体" w:hAnsi="宋体" w:eastAsia="宋体" w:cs="宋体"/>
                <w:szCs w:val="21"/>
              </w:rPr>
            </w:pPr>
            <w:r>
              <w:rPr>
                <w:rFonts w:hint="eastAsia" w:ascii="宋体" w:hAnsi="宋体" w:eastAsia="宋体" w:cs="宋体"/>
                <w:szCs w:val="21"/>
              </w:rPr>
              <w:t>4.故障响应时间：乙方在接到甲方通知后在按</w:t>
            </w:r>
            <w:r>
              <w:rPr>
                <w:rFonts w:hint="eastAsia" w:ascii="宋体" w:hAnsi="宋体" w:eastAsia="宋体" w:cs="宋体"/>
                <w:szCs w:val="21"/>
                <w:highlight w:val="none"/>
                <w:u w:val="single"/>
              </w:rPr>
              <w:t xml:space="preserve"> 2 </w:t>
            </w:r>
            <w:r>
              <w:rPr>
                <w:rFonts w:hint="eastAsia" w:ascii="宋体" w:hAnsi="宋体" w:eastAsia="宋体" w:cs="宋体"/>
                <w:szCs w:val="21"/>
              </w:rPr>
              <w:t>小时内到达现场进行处理，到达现场后</w:t>
            </w:r>
            <w:r>
              <w:rPr>
                <w:rFonts w:hint="eastAsia" w:ascii="宋体" w:hAnsi="宋体" w:eastAsia="宋体" w:cs="宋体"/>
                <w:szCs w:val="21"/>
                <w:u w:val="single"/>
              </w:rPr>
              <w:t xml:space="preserve"> 4 </w:t>
            </w:r>
            <w:r>
              <w:rPr>
                <w:rFonts w:hint="eastAsia" w:ascii="宋体" w:hAnsi="宋体" w:eastAsia="宋体" w:cs="宋体"/>
                <w:szCs w:val="21"/>
              </w:rPr>
              <w:t>小时内排除故障，恢复正常使用。</w:t>
            </w:r>
          </w:p>
          <w:p w14:paraId="606178FE">
            <w:pPr>
              <w:rPr>
                <w:rFonts w:hint="eastAsia" w:ascii="宋体" w:hAnsi="宋体" w:eastAsia="宋体" w:cs="宋体"/>
                <w:kern w:val="0"/>
                <w:szCs w:val="21"/>
              </w:rPr>
            </w:pPr>
            <w:r>
              <w:rPr>
                <w:rFonts w:hint="eastAsia" w:ascii="宋体" w:hAnsi="宋体" w:eastAsia="宋体" w:cs="宋体"/>
                <w:szCs w:val="21"/>
              </w:rPr>
              <w:t>5.成交人须遵守校园出入规定，在供货、安装过程中确保相关人员安全。供货、安装过程中产生的残留物或垃圾，成交人需自行清理至校外。</w:t>
            </w:r>
          </w:p>
        </w:tc>
      </w:tr>
      <w:tr w14:paraId="47102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12" w:type="pct"/>
            <w:gridSpan w:val="3"/>
            <w:tcBorders>
              <w:top w:val="single" w:color="auto" w:sz="4" w:space="0"/>
              <w:left w:val="single" w:color="auto" w:sz="4" w:space="0"/>
              <w:bottom w:val="single" w:color="auto" w:sz="4" w:space="0"/>
              <w:right w:val="single" w:color="auto" w:sz="4" w:space="0"/>
            </w:tcBorders>
            <w:vAlign w:val="center"/>
          </w:tcPr>
          <w:p w14:paraId="3B2B08E1">
            <w:pPr>
              <w:jc w:val="center"/>
              <w:rPr>
                <w:rFonts w:hint="eastAsia" w:ascii="宋体" w:hAnsi="宋体" w:eastAsia="宋体" w:cs="宋体"/>
                <w:kern w:val="0"/>
                <w:szCs w:val="21"/>
              </w:rPr>
            </w:pPr>
            <w:r>
              <w:rPr>
                <w:rFonts w:hint="eastAsia" w:ascii="宋体" w:hAnsi="宋体" w:eastAsia="宋体" w:cs="宋体"/>
                <w:b/>
                <w:bCs/>
                <w:szCs w:val="21"/>
              </w:rPr>
              <w:t>交付时间、交付地点</w:t>
            </w:r>
          </w:p>
        </w:tc>
        <w:tc>
          <w:tcPr>
            <w:tcW w:w="4087" w:type="pct"/>
            <w:gridSpan w:val="7"/>
            <w:tcBorders>
              <w:top w:val="single" w:color="auto" w:sz="4" w:space="0"/>
              <w:left w:val="single" w:color="auto" w:sz="4" w:space="0"/>
              <w:bottom w:val="single" w:color="auto" w:sz="4" w:space="0"/>
              <w:right w:val="single" w:color="auto" w:sz="4" w:space="0"/>
            </w:tcBorders>
            <w:vAlign w:val="center"/>
          </w:tcPr>
          <w:p w14:paraId="1975CB34">
            <w:pPr>
              <w:rPr>
                <w:rFonts w:hint="eastAsia" w:ascii="宋体" w:hAnsi="宋体" w:eastAsia="宋体" w:cs="宋体"/>
                <w:spacing w:val="-2"/>
                <w:szCs w:val="21"/>
              </w:rPr>
            </w:pPr>
            <w:r>
              <w:rPr>
                <w:rFonts w:hint="eastAsia" w:ascii="宋体" w:hAnsi="宋体" w:eastAsia="宋体" w:cs="宋体"/>
                <w:spacing w:val="-2"/>
                <w:szCs w:val="21"/>
              </w:rPr>
              <w:t>1.交付时间：自签订合同之日</w:t>
            </w:r>
            <w:r>
              <w:rPr>
                <w:rFonts w:hint="eastAsia" w:ascii="宋体" w:hAnsi="宋体" w:eastAsia="宋体" w:cs="宋体"/>
                <w:spacing w:val="-2"/>
                <w:szCs w:val="21"/>
                <w:highlight w:val="none"/>
              </w:rPr>
              <w:t>起</w:t>
            </w:r>
            <w:r>
              <w:rPr>
                <w:rFonts w:hint="eastAsia" w:ascii="宋体" w:hAnsi="宋体" w:eastAsia="宋体" w:cs="宋体"/>
                <w:spacing w:val="-2"/>
                <w:szCs w:val="21"/>
                <w:highlight w:val="none"/>
                <w:u w:val="single"/>
              </w:rPr>
              <w:t>15</w:t>
            </w:r>
            <w:r>
              <w:rPr>
                <w:rFonts w:hint="eastAsia" w:ascii="宋体" w:hAnsi="宋体" w:eastAsia="宋体" w:cs="宋体"/>
                <w:spacing w:val="-2"/>
                <w:szCs w:val="21"/>
                <w:highlight w:val="none"/>
              </w:rPr>
              <w:t>日内</w:t>
            </w:r>
            <w:r>
              <w:rPr>
                <w:rFonts w:hint="eastAsia" w:ascii="宋体" w:hAnsi="宋体" w:eastAsia="宋体" w:cs="宋体"/>
                <w:spacing w:val="-2"/>
                <w:szCs w:val="21"/>
              </w:rPr>
              <w:t>全部交付完成并验收合格。</w:t>
            </w:r>
          </w:p>
          <w:p w14:paraId="75D9B533">
            <w:pPr>
              <w:rPr>
                <w:rFonts w:hint="eastAsia" w:ascii="宋体" w:hAnsi="宋体" w:eastAsia="宋体" w:cs="宋体"/>
                <w:kern w:val="0"/>
                <w:szCs w:val="21"/>
              </w:rPr>
            </w:pPr>
            <w:r>
              <w:rPr>
                <w:rFonts w:hint="eastAsia" w:ascii="宋体" w:hAnsi="宋体" w:eastAsia="宋体" w:cs="宋体"/>
                <w:szCs w:val="21"/>
              </w:rPr>
              <w:t>2.交付地点：广西中医药大学。</w:t>
            </w:r>
          </w:p>
        </w:tc>
      </w:tr>
      <w:tr w14:paraId="0F126C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12" w:type="pct"/>
            <w:gridSpan w:val="3"/>
            <w:tcBorders>
              <w:top w:val="single" w:color="auto" w:sz="4" w:space="0"/>
              <w:left w:val="single" w:color="auto" w:sz="4" w:space="0"/>
              <w:bottom w:val="single" w:color="auto" w:sz="4" w:space="0"/>
              <w:right w:val="single" w:color="auto" w:sz="4" w:space="0"/>
            </w:tcBorders>
            <w:vAlign w:val="center"/>
          </w:tcPr>
          <w:p w14:paraId="2DC20378">
            <w:pPr>
              <w:jc w:val="center"/>
              <w:rPr>
                <w:rFonts w:hint="eastAsia" w:ascii="宋体" w:hAnsi="宋体" w:eastAsia="宋体" w:cs="宋体"/>
                <w:kern w:val="0"/>
                <w:szCs w:val="21"/>
              </w:rPr>
            </w:pPr>
            <w:r>
              <w:rPr>
                <w:rFonts w:hint="eastAsia" w:ascii="宋体" w:hAnsi="宋体" w:eastAsia="宋体" w:cs="宋体"/>
                <w:b/>
                <w:bCs/>
                <w:szCs w:val="21"/>
              </w:rPr>
              <w:t>付款条件</w:t>
            </w:r>
          </w:p>
        </w:tc>
        <w:tc>
          <w:tcPr>
            <w:tcW w:w="4087" w:type="pct"/>
            <w:gridSpan w:val="7"/>
            <w:tcBorders>
              <w:top w:val="single" w:color="auto" w:sz="4" w:space="0"/>
              <w:left w:val="single" w:color="auto" w:sz="4" w:space="0"/>
              <w:bottom w:val="single" w:color="auto" w:sz="4" w:space="0"/>
              <w:right w:val="single" w:color="auto" w:sz="4" w:space="0"/>
            </w:tcBorders>
            <w:vAlign w:val="center"/>
          </w:tcPr>
          <w:p w14:paraId="40AAD5A7">
            <w:pPr>
              <w:numPr>
                <w:numId w:val="0"/>
              </w:numPr>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签订合同后10个工作日内甲方向乙方支付合同总金额30%的预付款，待货物安装调试完毕并最终验收合格后，甲方在 20个工作日内凭乙方开具的全额发票付清乙方剩余的70%合同款。若乙方未按时开具发票，甲方有权延迟付款并不能认定为违约。(无履约保证金、无息)。甲方按约将货款付至合同约定的银行账户(该账户的真实性及合法性由乙方负责);如因乙方提供的账户信息错误导致无法付款、迟延付款等情形的不视为甲方违约;乙方变更收款银行账户的，应在变更之前书面通知甲</w:t>
            </w:r>
            <w:bookmarkStart w:id="1" w:name="_GoBack"/>
            <w:bookmarkEnd w:id="1"/>
            <w:r>
              <w:rPr>
                <w:rFonts w:hint="eastAsia" w:ascii="宋体" w:hAnsi="宋体" w:eastAsia="宋体" w:cs="宋体"/>
                <w:szCs w:val="21"/>
              </w:rPr>
              <w:t>方，否则应承担甲方无法付款、迟延付款或付款错误等全部责任。</w:t>
            </w:r>
          </w:p>
          <w:p w14:paraId="0B47C13A">
            <w:pPr>
              <w:numPr>
                <w:numId w:val="0"/>
              </w:numPr>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本项目收取履约保证金：☑无    □有，人民币</w:t>
            </w:r>
            <w:r>
              <w:rPr>
                <w:rFonts w:hint="eastAsia" w:ascii="宋体" w:hAnsi="宋体" w:eastAsia="宋体" w:cs="宋体"/>
                <w:szCs w:val="21"/>
                <w:u w:val="single"/>
              </w:rPr>
              <w:t xml:space="preserve">        </w:t>
            </w:r>
            <w:r>
              <w:rPr>
                <w:rFonts w:hint="eastAsia" w:ascii="宋体" w:hAnsi="宋体" w:eastAsia="宋体" w:cs="宋体"/>
                <w:szCs w:val="21"/>
              </w:rPr>
              <w:t>元。</w:t>
            </w:r>
          </w:p>
          <w:p w14:paraId="653A3DA4">
            <w:pPr>
              <w:rPr>
                <w:rFonts w:hint="eastAsia" w:ascii="宋体" w:hAnsi="宋体" w:eastAsia="宋体" w:cs="宋体"/>
                <w:kern w:val="0"/>
                <w:szCs w:val="21"/>
              </w:rPr>
            </w:pPr>
            <w:r>
              <w:rPr>
                <w:rFonts w:hint="eastAsia" w:ascii="宋体" w:hAnsi="宋体" w:eastAsia="宋体" w:cs="宋体"/>
                <w:bCs/>
                <w:szCs w:val="21"/>
              </w:rPr>
              <w:t>3.项目收取履约保证金的，成交人须在合同签订前向采购人账户转付成交金额2%的履约保证金，否则不予签订合同。履约保证金在采购内容全部交付验收完成之后（或服务期满后）无息退付。</w:t>
            </w:r>
          </w:p>
        </w:tc>
      </w:tr>
      <w:tr w14:paraId="418EAC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12" w:type="pct"/>
            <w:gridSpan w:val="3"/>
            <w:tcBorders>
              <w:top w:val="single" w:color="auto" w:sz="4" w:space="0"/>
              <w:left w:val="single" w:color="auto" w:sz="4" w:space="0"/>
              <w:bottom w:val="single" w:color="auto" w:sz="4" w:space="0"/>
              <w:right w:val="single" w:color="auto" w:sz="4" w:space="0"/>
            </w:tcBorders>
            <w:vAlign w:val="center"/>
          </w:tcPr>
          <w:p w14:paraId="6C28B805">
            <w:pPr>
              <w:jc w:val="center"/>
              <w:rPr>
                <w:rFonts w:hint="eastAsia" w:ascii="宋体" w:hAnsi="宋体" w:eastAsia="宋体" w:cs="宋体"/>
                <w:kern w:val="0"/>
                <w:szCs w:val="21"/>
              </w:rPr>
            </w:pPr>
            <w:r>
              <w:rPr>
                <w:rFonts w:hint="eastAsia" w:ascii="宋体" w:hAnsi="宋体" w:eastAsia="宋体" w:cs="宋体"/>
                <w:b/>
                <w:bCs/>
                <w:szCs w:val="21"/>
              </w:rPr>
              <w:t>报价要求</w:t>
            </w:r>
          </w:p>
        </w:tc>
        <w:tc>
          <w:tcPr>
            <w:tcW w:w="4087" w:type="pct"/>
            <w:gridSpan w:val="7"/>
            <w:tcBorders>
              <w:top w:val="single" w:color="auto" w:sz="4" w:space="0"/>
              <w:left w:val="single" w:color="auto" w:sz="4" w:space="0"/>
              <w:bottom w:val="single" w:color="auto" w:sz="4" w:space="0"/>
              <w:right w:val="single" w:color="auto" w:sz="4" w:space="0"/>
            </w:tcBorders>
            <w:vAlign w:val="center"/>
          </w:tcPr>
          <w:p w14:paraId="7E3DF694">
            <w:pPr>
              <w:numPr>
                <w:ilvl w:val="0"/>
                <w:numId w:val="1"/>
              </w:numPr>
              <w:rPr>
                <w:rFonts w:hint="eastAsia" w:ascii="宋体" w:hAnsi="宋体" w:eastAsia="宋体" w:cs="宋体"/>
                <w:b/>
                <w:color w:val="000000"/>
                <w:szCs w:val="21"/>
              </w:rPr>
            </w:pPr>
            <w:r>
              <w:rPr>
                <w:rFonts w:hint="eastAsia" w:ascii="宋体" w:hAnsi="宋体" w:eastAsia="宋体" w:cs="宋体"/>
                <w:b/>
                <w:color w:val="000000"/>
                <w:szCs w:val="21"/>
              </w:rPr>
              <w:t>所有价格均用人民币表示，单位为</w:t>
            </w:r>
            <w:r>
              <w:rPr>
                <w:rFonts w:hint="eastAsia" w:ascii="宋体" w:hAnsi="宋体" w:eastAsia="宋体" w:cs="宋体"/>
                <w:b/>
                <w:color w:val="000000"/>
                <w:szCs w:val="21"/>
                <w:lang w:val="en-US" w:eastAsia="zh-CN"/>
              </w:rPr>
              <w:t>万</w:t>
            </w:r>
            <w:r>
              <w:rPr>
                <w:rFonts w:hint="eastAsia" w:ascii="宋体" w:hAnsi="宋体" w:eastAsia="宋体" w:cs="宋体"/>
                <w:b/>
                <w:color w:val="000000"/>
                <w:szCs w:val="21"/>
              </w:rPr>
              <w:t>元，精确到小数点后两位；报价合计金额高于预算金额的报价无效。</w:t>
            </w:r>
          </w:p>
          <w:p w14:paraId="69DD62F6">
            <w:pPr>
              <w:numPr>
                <w:ilvl w:val="0"/>
                <w:numId w:val="1"/>
              </w:numPr>
              <w:rPr>
                <w:rFonts w:hint="eastAsia" w:ascii="宋体" w:hAnsi="宋体" w:eastAsia="宋体" w:cs="宋体"/>
                <w:b/>
                <w:szCs w:val="21"/>
              </w:rPr>
            </w:pPr>
            <w:r>
              <w:rPr>
                <w:rFonts w:hint="eastAsia" w:ascii="宋体" w:hAnsi="宋体" w:eastAsia="宋体" w:cs="宋体"/>
                <w:b/>
                <w:bCs/>
                <w:szCs w:val="21"/>
              </w:rPr>
              <w:t>报价一经涂改，应在涂改处加盖单位公章，否则其投标作无效标处理。</w:t>
            </w:r>
          </w:p>
          <w:p w14:paraId="4DF1E73E">
            <w:pPr>
              <w:numPr>
                <w:ilvl w:val="0"/>
                <w:numId w:val="1"/>
              </w:numPr>
              <w:ind w:left="425" w:leftChars="0" w:hanging="425" w:firstLineChars="0"/>
              <w:rPr>
                <w:rFonts w:hint="eastAsia" w:ascii="宋体" w:hAnsi="宋体" w:eastAsia="宋体" w:cs="宋体"/>
                <w:kern w:val="0"/>
                <w:szCs w:val="21"/>
              </w:rPr>
            </w:pPr>
            <w:r>
              <w:rPr>
                <w:rFonts w:hint="eastAsia" w:ascii="宋体" w:hAnsi="宋体" w:eastAsia="宋体" w:cs="宋体"/>
                <w:b/>
                <w:color w:val="000000"/>
                <w:szCs w:val="21"/>
              </w:rPr>
              <w:t>报价包括项目采购标的及实施所需的材料费、设备费、人工费、服务费、运输费、安装调试费、税费、质保期内维护费（含维修、养护等）、必要的保险或检测费用等其他一切费用</w:t>
            </w:r>
            <w:r>
              <w:rPr>
                <w:rFonts w:hint="eastAsia" w:ascii="宋体" w:hAnsi="宋体" w:eastAsia="宋体" w:cs="宋体"/>
                <w:b/>
                <w:color w:val="000000"/>
                <w:szCs w:val="21"/>
                <w:lang w:eastAsia="zh-CN"/>
              </w:rPr>
              <w:t>。</w:t>
            </w:r>
          </w:p>
        </w:tc>
      </w:tr>
      <w:tr w14:paraId="2924DB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5000" w:type="pct"/>
            <w:gridSpan w:val="10"/>
            <w:tcBorders>
              <w:top w:val="single" w:color="auto" w:sz="4" w:space="0"/>
              <w:left w:val="single" w:color="auto" w:sz="4" w:space="0"/>
              <w:bottom w:val="single" w:color="auto" w:sz="4" w:space="0"/>
              <w:right w:val="single" w:color="auto" w:sz="4" w:space="0"/>
            </w:tcBorders>
            <w:vAlign w:val="center"/>
          </w:tcPr>
          <w:p w14:paraId="38F4BBC0">
            <w:pPr>
              <w:autoSpaceDE w:val="0"/>
              <w:autoSpaceDN w:val="0"/>
              <w:adjustRightInd w:val="0"/>
              <w:spacing w:line="360" w:lineRule="auto"/>
              <w:jc w:val="left"/>
              <w:rPr>
                <w:rFonts w:hint="eastAsia" w:ascii="宋体" w:hAnsi="宋体" w:eastAsia="宋体" w:cs="宋体"/>
                <w:kern w:val="0"/>
                <w:szCs w:val="21"/>
              </w:rPr>
            </w:pPr>
            <w:r>
              <w:rPr>
                <w:rFonts w:hint="eastAsia" w:ascii="宋体" w:hAnsi="宋体" w:eastAsia="宋体" w:cs="宋体"/>
                <w:b/>
                <w:kern w:val="0"/>
                <w:szCs w:val="21"/>
                <w:lang w:val="en-US" w:eastAsia="zh-CN"/>
              </w:rPr>
              <w:t>五</w:t>
            </w:r>
            <w:r>
              <w:rPr>
                <w:rFonts w:hint="eastAsia" w:ascii="宋体" w:hAnsi="宋体" w:eastAsia="宋体" w:cs="宋体"/>
                <w:b/>
                <w:kern w:val="0"/>
                <w:szCs w:val="21"/>
              </w:rPr>
              <w:t>、其他要求</w:t>
            </w:r>
          </w:p>
        </w:tc>
      </w:tr>
      <w:tr w14:paraId="6D517D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12" w:type="pct"/>
            <w:gridSpan w:val="3"/>
            <w:tcBorders>
              <w:top w:val="single" w:color="auto" w:sz="4" w:space="0"/>
              <w:left w:val="single" w:color="auto" w:sz="4" w:space="0"/>
              <w:bottom w:val="single" w:color="auto" w:sz="4" w:space="0"/>
              <w:right w:val="single" w:color="auto" w:sz="4" w:space="0"/>
            </w:tcBorders>
            <w:vAlign w:val="center"/>
          </w:tcPr>
          <w:p w14:paraId="635A6CD1">
            <w:pPr>
              <w:jc w:val="center"/>
              <w:rPr>
                <w:rFonts w:hint="eastAsia" w:ascii="宋体" w:hAnsi="宋体" w:eastAsia="宋体" w:cs="宋体"/>
                <w:kern w:val="0"/>
                <w:szCs w:val="21"/>
              </w:rPr>
            </w:pPr>
            <w:r>
              <w:rPr>
                <w:rFonts w:hint="eastAsia" w:ascii="宋体" w:hAnsi="宋体" w:eastAsia="宋体" w:cs="宋体"/>
                <w:b/>
                <w:bCs/>
                <w:szCs w:val="21"/>
              </w:rPr>
              <w:t>其它要求</w:t>
            </w:r>
          </w:p>
        </w:tc>
        <w:tc>
          <w:tcPr>
            <w:tcW w:w="4087" w:type="pct"/>
            <w:gridSpan w:val="7"/>
            <w:tcBorders>
              <w:top w:val="single" w:color="auto" w:sz="4" w:space="0"/>
              <w:left w:val="single" w:color="auto" w:sz="4" w:space="0"/>
              <w:bottom w:val="single" w:color="auto" w:sz="4" w:space="0"/>
              <w:right w:val="single" w:color="auto" w:sz="4" w:space="0"/>
            </w:tcBorders>
            <w:vAlign w:val="center"/>
          </w:tcPr>
          <w:p w14:paraId="2B0AF828">
            <w:pPr>
              <w:numPr>
                <w:ilvl w:val="0"/>
                <w:numId w:val="2"/>
              </w:numPr>
              <w:rPr>
                <w:rFonts w:hint="eastAsia" w:ascii="宋体" w:hAnsi="宋体" w:eastAsia="宋体" w:cs="宋体"/>
                <w:szCs w:val="21"/>
              </w:rPr>
            </w:pPr>
            <w:r>
              <w:rPr>
                <w:rFonts w:hint="eastAsia" w:ascii="宋体" w:hAnsi="宋体" w:eastAsia="宋体" w:cs="宋体"/>
                <w:szCs w:val="21"/>
              </w:rPr>
              <w:t>对在“信用中国”网站、中国政府采购网被列入失信被执行人、重大税收违法案件当事人名单、政府采购严重违法失信行为记录名单及其他不符合《中华人民共和国政府采购法》第二十二条规定的供应商，不得参与投标报价。</w:t>
            </w:r>
          </w:p>
          <w:p w14:paraId="63F7C6EC">
            <w:pPr>
              <w:rPr>
                <w:rFonts w:hint="eastAsia" w:ascii="宋体" w:hAnsi="宋体" w:eastAsia="宋体" w:cs="宋体"/>
                <w:kern w:val="0"/>
                <w:szCs w:val="21"/>
              </w:rPr>
            </w:pPr>
            <w:r>
              <w:rPr>
                <w:rFonts w:hint="eastAsia" w:ascii="宋体" w:hAnsi="宋体" w:eastAsia="宋体" w:cs="宋体"/>
                <w:szCs w:val="21"/>
              </w:rPr>
              <w:t>2、本项目采购任务急，现特向潜在供应商作出相关提醒：供应商存在不按要求报价、不按要求提供审查资料、或资料审查不合格、成交后无故放弃、不按合同履行等违约行为的， 采购人有权按预算金额20%的赔偿金额向成交供应商追偿其所造成的损失。</w:t>
            </w:r>
          </w:p>
        </w:tc>
      </w:tr>
    </w:tbl>
    <w:p w14:paraId="3C6BFEF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color w:val="000000"/>
          <w:szCs w:val="21"/>
        </w:rPr>
      </w:pPr>
      <w:r>
        <w:rPr>
          <w:rFonts w:hint="eastAsia" w:ascii="宋体" w:hAnsi="宋体" w:eastAsia="宋体" w:cs="宋体"/>
          <w:b/>
          <w:color w:val="000000"/>
          <w:szCs w:val="21"/>
        </w:rPr>
        <w:t>注：①所有价格均用人民币表示，单位为元，精确到小数点后两位；高于预算金额的报价无效；</w:t>
      </w:r>
    </w:p>
    <w:p w14:paraId="7742B78F">
      <w:pPr>
        <w:keepNext w:val="0"/>
        <w:keepLines w:val="0"/>
        <w:pageBreakBefore w:val="0"/>
        <w:widowControl w:val="0"/>
        <w:kinsoku/>
        <w:wordWrap/>
        <w:overflowPunct/>
        <w:topLinePunct w:val="0"/>
        <w:autoSpaceDE/>
        <w:autoSpaceDN/>
        <w:bidi w:val="0"/>
        <w:adjustRightInd/>
        <w:snapToGrid/>
        <w:ind w:left="428" w:leftChars="200" w:hanging="8" w:hangingChars="4"/>
        <w:textAlignment w:val="auto"/>
        <w:rPr>
          <w:rFonts w:hint="eastAsia" w:ascii="宋体" w:hAnsi="宋体" w:eastAsia="宋体" w:cs="宋体"/>
          <w:b/>
          <w:color w:val="000000"/>
          <w:szCs w:val="21"/>
        </w:rPr>
      </w:pPr>
      <w:r>
        <w:rPr>
          <w:rFonts w:hint="eastAsia" w:ascii="宋体" w:hAnsi="宋体" w:eastAsia="宋体" w:cs="宋体"/>
          <w:b/>
          <w:color w:val="000000"/>
          <w:szCs w:val="21"/>
        </w:rPr>
        <w:t>②本表“品牌型号、生产厂家”必须填写唯一的品牌、型号，采购需求的“品牌型号要求”中如有列明特定品牌型号，则必须按指定品牌型号报价，否则报价无效；如未列明，则报价人可自由选择合适品牌进行报价。</w:t>
      </w:r>
    </w:p>
    <w:p w14:paraId="13E563CC">
      <w:pPr>
        <w:keepNext w:val="0"/>
        <w:keepLines w:val="0"/>
        <w:pageBreakBefore w:val="0"/>
        <w:widowControl w:val="0"/>
        <w:kinsoku/>
        <w:wordWrap/>
        <w:overflowPunct/>
        <w:topLinePunct w:val="0"/>
        <w:autoSpaceDE/>
        <w:autoSpaceDN/>
        <w:bidi w:val="0"/>
        <w:adjustRightInd/>
        <w:snapToGrid/>
        <w:ind w:firstLine="413" w:firstLineChars="196"/>
        <w:textAlignment w:val="auto"/>
        <w:rPr>
          <w:rFonts w:hint="eastAsia" w:ascii="宋体" w:hAnsi="宋体" w:eastAsia="宋体" w:cs="宋体"/>
          <w:b/>
          <w:color w:val="000000"/>
          <w:szCs w:val="21"/>
        </w:rPr>
      </w:pPr>
      <w:r>
        <w:rPr>
          <w:rFonts w:hint="eastAsia" w:ascii="宋体" w:hAnsi="宋体" w:eastAsia="宋体" w:cs="宋体"/>
          <w:b/>
          <w:color w:val="000000"/>
          <w:szCs w:val="21"/>
        </w:rPr>
        <w:t>③技术要求必须逐条完全响应。</w:t>
      </w:r>
    </w:p>
    <w:p w14:paraId="04CDC48A">
      <w:pPr>
        <w:keepNext w:val="0"/>
        <w:keepLines w:val="0"/>
        <w:pageBreakBefore w:val="0"/>
        <w:widowControl w:val="0"/>
        <w:kinsoku/>
        <w:wordWrap/>
        <w:overflowPunct/>
        <w:topLinePunct w:val="0"/>
        <w:autoSpaceDE/>
        <w:autoSpaceDN/>
        <w:bidi w:val="0"/>
        <w:adjustRightInd/>
        <w:snapToGrid/>
        <w:ind w:left="428" w:leftChars="200" w:hanging="8" w:hangingChars="4"/>
        <w:textAlignment w:val="auto"/>
        <w:rPr>
          <w:rFonts w:hint="eastAsia" w:ascii="宋体" w:hAnsi="宋体" w:eastAsia="宋体" w:cs="宋体"/>
          <w:b/>
          <w:color w:val="000000"/>
          <w:szCs w:val="21"/>
        </w:rPr>
      </w:pPr>
      <w:r>
        <w:rPr>
          <w:rFonts w:hint="eastAsia" w:ascii="宋体" w:hAnsi="宋体" w:eastAsia="宋体" w:cs="宋体"/>
          <w:b/>
          <w:color w:val="000000"/>
          <w:szCs w:val="21"/>
        </w:rPr>
        <w:t>④商务要求应逐条完全响应，如有缺项漏项或未列明响应内容的，视为认可采购人要求，报价有效但需按采购人要求执行商务条款。</w:t>
      </w:r>
    </w:p>
    <w:p w14:paraId="202B4EB2">
      <w:pPr>
        <w:ind w:right="-197" w:rightChars="-94"/>
        <w:rPr>
          <w:rFonts w:hint="eastAsia" w:ascii="宋体" w:hAnsi="宋体" w:eastAsia="宋体" w:cs="宋体"/>
          <w:b/>
          <w:color w:val="000000"/>
          <w:sz w:val="28"/>
          <w:szCs w:val="28"/>
        </w:rPr>
      </w:pPr>
      <w:r>
        <w:rPr>
          <w:rFonts w:hint="eastAsia" w:ascii="宋体" w:hAnsi="宋体" w:eastAsia="宋体" w:cs="宋体"/>
          <w:b/>
          <w:color w:val="000000"/>
          <w:sz w:val="28"/>
          <w:szCs w:val="28"/>
        </w:rPr>
        <w:t>我公司承诺：我公司已阅知此项目的所有采购需求，对此项目的技术、商务及其他要求完全响应，并已按要求给出完整、合理、最优的报价。</w:t>
      </w:r>
    </w:p>
    <w:p w14:paraId="09CACB55">
      <w:pPr>
        <w:pStyle w:val="2"/>
        <w:rPr>
          <w:rFonts w:hint="eastAsia" w:ascii="宋体" w:hAnsi="宋体" w:eastAsia="宋体" w:cs="宋体"/>
        </w:rPr>
      </w:pPr>
    </w:p>
    <w:p w14:paraId="15B81BA8">
      <w:pPr>
        <w:rPr>
          <w:rFonts w:hint="eastAsia" w:ascii="宋体" w:hAnsi="宋体" w:eastAsia="宋体" w:cs="宋体"/>
          <w:sz w:val="28"/>
          <w:szCs w:val="28"/>
        </w:rPr>
      </w:pPr>
      <w:r>
        <w:rPr>
          <w:rFonts w:hint="eastAsia" w:ascii="宋体" w:hAnsi="宋体" w:eastAsia="宋体" w:cs="宋体"/>
          <w:sz w:val="28"/>
          <w:szCs w:val="28"/>
        </w:rPr>
        <w:t>报价人：                           （公章）</w:t>
      </w:r>
    </w:p>
    <w:p w14:paraId="4C0A1523">
      <w:pPr>
        <w:rPr>
          <w:rFonts w:hint="eastAsia" w:ascii="宋体" w:hAnsi="宋体" w:eastAsia="宋体" w:cs="宋体"/>
          <w:sz w:val="28"/>
          <w:szCs w:val="28"/>
        </w:rPr>
      </w:pPr>
      <w:r>
        <w:rPr>
          <w:rFonts w:hint="eastAsia" w:ascii="宋体" w:hAnsi="宋体" w:eastAsia="宋体" w:cs="宋体"/>
          <w:sz w:val="28"/>
          <w:szCs w:val="28"/>
        </w:rPr>
        <w:t>法定代表人或委托代理人：           （签字或签章）</w:t>
      </w:r>
    </w:p>
    <w:p w14:paraId="78958B75">
      <w:pPr>
        <w:rPr>
          <w:rFonts w:hint="eastAsia" w:ascii="宋体" w:hAnsi="宋体" w:eastAsia="宋体" w:cs="宋体"/>
          <w:sz w:val="28"/>
          <w:szCs w:val="28"/>
        </w:rPr>
      </w:pPr>
      <w:r>
        <w:rPr>
          <w:rFonts w:hint="eastAsia" w:ascii="宋体" w:hAnsi="宋体" w:eastAsia="宋体" w:cs="宋体"/>
          <w:sz w:val="28"/>
          <w:szCs w:val="28"/>
        </w:rPr>
        <w:t>开户银行名称：</w:t>
      </w:r>
      <w:r>
        <w:rPr>
          <w:rFonts w:hint="eastAsia" w:ascii="宋体" w:hAnsi="宋体" w:eastAsia="宋体" w:cs="宋体"/>
          <w:sz w:val="28"/>
          <w:szCs w:val="28"/>
        </w:rPr>
        <w:tab/>
      </w:r>
      <w:r>
        <w:rPr>
          <w:rFonts w:hint="eastAsia" w:ascii="宋体" w:hAnsi="宋体" w:eastAsia="宋体" w:cs="宋体"/>
          <w:sz w:val="28"/>
          <w:szCs w:val="28"/>
        </w:rPr>
        <w:t xml:space="preserve">                  </w:t>
      </w:r>
    </w:p>
    <w:p w14:paraId="1062B026">
      <w:pPr>
        <w:rPr>
          <w:rFonts w:hint="eastAsia" w:ascii="宋体" w:hAnsi="宋体" w:eastAsia="宋体" w:cs="宋体"/>
          <w:sz w:val="28"/>
          <w:szCs w:val="28"/>
        </w:rPr>
      </w:pPr>
      <w:r>
        <w:rPr>
          <w:rFonts w:hint="eastAsia" w:ascii="宋体" w:hAnsi="宋体" w:eastAsia="宋体" w:cs="宋体"/>
          <w:sz w:val="28"/>
          <w:szCs w:val="28"/>
        </w:rPr>
        <w:t>开户银行账号：</w:t>
      </w:r>
      <w:r>
        <w:rPr>
          <w:rFonts w:hint="eastAsia" w:ascii="宋体" w:hAnsi="宋体" w:eastAsia="宋体" w:cs="宋体"/>
          <w:sz w:val="28"/>
          <w:szCs w:val="28"/>
        </w:rPr>
        <w:tab/>
      </w:r>
      <w:r>
        <w:rPr>
          <w:rFonts w:hint="eastAsia" w:ascii="宋体" w:hAnsi="宋体" w:eastAsia="宋体" w:cs="宋体"/>
          <w:sz w:val="28"/>
          <w:szCs w:val="28"/>
        </w:rPr>
        <w:t xml:space="preserve">                  </w:t>
      </w:r>
    </w:p>
    <w:p w14:paraId="51F06BB0">
      <w:pPr>
        <w:rPr>
          <w:rFonts w:hint="eastAsia" w:ascii="宋体" w:hAnsi="宋体" w:eastAsia="宋体" w:cs="宋体"/>
          <w:sz w:val="28"/>
          <w:szCs w:val="28"/>
        </w:rPr>
      </w:pPr>
      <w:r>
        <w:rPr>
          <w:rFonts w:hint="eastAsia" w:ascii="宋体" w:hAnsi="宋体" w:eastAsia="宋体" w:cs="宋体"/>
          <w:sz w:val="28"/>
          <w:szCs w:val="28"/>
        </w:rPr>
        <w:t>公司地址：</w:t>
      </w:r>
      <w:r>
        <w:rPr>
          <w:rFonts w:hint="eastAsia" w:ascii="宋体" w:hAnsi="宋体" w:eastAsia="宋体" w:cs="宋体"/>
          <w:sz w:val="28"/>
          <w:szCs w:val="28"/>
        </w:rPr>
        <w:tab/>
      </w:r>
      <w:r>
        <w:rPr>
          <w:rFonts w:hint="eastAsia" w:ascii="宋体" w:hAnsi="宋体" w:eastAsia="宋体" w:cs="宋体"/>
          <w:sz w:val="28"/>
          <w:szCs w:val="28"/>
        </w:rPr>
        <w:t xml:space="preserve">                        </w:t>
      </w:r>
    </w:p>
    <w:p w14:paraId="16458BAF">
      <w:pPr>
        <w:rPr>
          <w:rFonts w:hint="eastAsia" w:ascii="宋体" w:hAnsi="宋体" w:eastAsia="宋体" w:cs="宋体"/>
          <w:sz w:val="28"/>
          <w:szCs w:val="28"/>
        </w:rPr>
      </w:pPr>
      <w:r>
        <w:rPr>
          <w:rFonts w:hint="eastAsia" w:ascii="宋体" w:hAnsi="宋体" w:eastAsia="宋体" w:cs="宋体"/>
          <w:sz w:val="28"/>
          <w:szCs w:val="28"/>
        </w:rPr>
        <w:t>联系方式：                         （联系人、联系电话）</w:t>
      </w:r>
    </w:p>
    <w:p w14:paraId="043E0E3E">
      <w:pPr>
        <w:rPr>
          <w:rFonts w:hint="eastAsia" w:ascii="宋体" w:hAnsi="宋体" w:eastAsia="宋体" w:cs="宋体"/>
          <w:sz w:val="28"/>
          <w:szCs w:val="28"/>
        </w:rPr>
      </w:pPr>
      <w:r>
        <w:rPr>
          <w:rFonts w:hint="eastAsia" w:ascii="宋体" w:hAnsi="宋体" w:eastAsia="宋体" w:cs="宋体"/>
          <w:sz w:val="28"/>
          <w:szCs w:val="28"/>
        </w:rPr>
        <w:t>报价日期：     年    月    日</w:t>
      </w:r>
    </w:p>
    <w:p w14:paraId="73B57967">
      <w:pPr>
        <w:tabs>
          <w:tab w:val="center" w:pos="4153"/>
        </w:tabs>
        <w:snapToGrid w:val="0"/>
        <w:spacing w:before="50" w:after="50" w:line="360" w:lineRule="atLeast"/>
        <w:rPr>
          <w:rFonts w:hint="eastAsia" w:ascii="宋体" w:hAnsi="宋体" w:eastAsia="宋体" w:cs="宋体"/>
          <w:color w:val="000000"/>
          <w:sz w:val="28"/>
          <w:szCs w:val="28"/>
        </w:rPr>
      </w:pPr>
    </w:p>
    <w:sectPr>
      <w:pgSz w:w="11906" w:h="16838"/>
      <w:pgMar w:top="680" w:right="1558" w:bottom="68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371A66"/>
    <w:multiLevelType w:val="singleLevel"/>
    <w:tmpl w:val="2A371A66"/>
    <w:lvl w:ilvl="0" w:tentative="0">
      <w:start w:val="1"/>
      <w:numFmt w:val="decimal"/>
      <w:lvlText w:val="%1."/>
      <w:lvlJc w:val="left"/>
      <w:pPr>
        <w:ind w:left="425" w:hanging="425"/>
      </w:pPr>
      <w:rPr>
        <w:rFonts w:hint="default"/>
      </w:rPr>
    </w:lvl>
  </w:abstractNum>
  <w:abstractNum w:abstractNumId="1">
    <w:nsid w:val="7B20474A"/>
    <w:multiLevelType w:val="singleLevel"/>
    <w:tmpl w:val="7B20474A"/>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524735"/>
    <w:rsid w:val="00001C4D"/>
    <w:rsid w:val="000151A7"/>
    <w:rsid w:val="00015768"/>
    <w:rsid w:val="00023BD5"/>
    <w:rsid w:val="00057E4B"/>
    <w:rsid w:val="000662E8"/>
    <w:rsid w:val="000A7F3A"/>
    <w:rsid w:val="000D5670"/>
    <w:rsid w:val="000E0562"/>
    <w:rsid w:val="00111693"/>
    <w:rsid w:val="001373A8"/>
    <w:rsid w:val="00157A8E"/>
    <w:rsid w:val="00176973"/>
    <w:rsid w:val="001A0047"/>
    <w:rsid w:val="001A6750"/>
    <w:rsid w:val="001B34DC"/>
    <w:rsid w:val="001B4A32"/>
    <w:rsid w:val="001C0DAF"/>
    <w:rsid w:val="001E7733"/>
    <w:rsid w:val="00206F37"/>
    <w:rsid w:val="00223331"/>
    <w:rsid w:val="0024086D"/>
    <w:rsid w:val="002708B5"/>
    <w:rsid w:val="00277DEB"/>
    <w:rsid w:val="0029114E"/>
    <w:rsid w:val="00296E65"/>
    <w:rsid w:val="002C493F"/>
    <w:rsid w:val="002E0607"/>
    <w:rsid w:val="002F4F7E"/>
    <w:rsid w:val="003204C8"/>
    <w:rsid w:val="00330702"/>
    <w:rsid w:val="0033284B"/>
    <w:rsid w:val="00337925"/>
    <w:rsid w:val="00346371"/>
    <w:rsid w:val="003569A7"/>
    <w:rsid w:val="003672AA"/>
    <w:rsid w:val="00396B29"/>
    <w:rsid w:val="003A6D4F"/>
    <w:rsid w:val="003B0BC1"/>
    <w:rsid w:val="003B0D49"/>
    <w:rsid w:val="003E7362"/>
    <w:rsid w:val="004004BB"/>
    <w:rsid w:val="00405D87"/>
    <w:rsid w:val="004269CC"/>
    <w:rsid w:val="00481137"/>
    <w:rsid w:val="004C21B1"/>
    <w:rsid w:val="004C5F6C"/>
    <w:rsid w:val="00507281"/>
    <w:rsid w:val="0051140A"/>
    <w:rsid w:val="00524735"/>
    <w:rsid w:val="005312D8"/>
    <w:rsid w:val="00563B34"/>
    <w:rsid w:val="00590B6E"/>
    <w:rsid w:val="005944DC"/>
    <w:rsid w:val="005D08A8"/>
    <w:rsid w:val="005D624B"/>
    <w:rsid w:val="005E52CA"/>
    <w:rsid w:val="005F16FF"/>
    <w:rsid w:val="006027D7"/>
    <w:rsid w:val="00604BDC"/>
    <w:rsid w:val="00624C56"/>
    <w:rsid w:val="006337F3"/>
    <w:rsid w:val="00646231"/>
    <w:rsid w:val="006552B4"/>
    <w:rsid w:val="006A130D"/>
    <w:rsid w:val="006F55C4"/>
    <w:rsid w:val="006F69B2"/>
    <w:rsid w:val="006F7030"/>
    <w:rsid w:val="007047E7"/>
    <w:rsid w:val="00710E97"/>
    <w:rsid w:val="007169EB"/>
    <w:rsid w:val="00721CE0"/>
    <w:rsid w:val="00755828"/>
    <w:rsid w:val="00762DF7"/>
    <w:rsid w:val="007C2B74"/>
    <w:rsid w:val="007C339F"/>
    <w:rsid w:val="007F6B6A"/>
    <w:rsid w:val="0083146F"/>
    <w:rsid w:val="0085079A"/>
    <w:rsid w:val="0086224C"/>
    <w:rsid w:val="00880385"/>
    <w:rsid w:val="00890449"/>
    <w:rsid w:val="008D0D3D"/>
    <w:rsid w:val="008E4DE4"/>
    <w:rsid w:val="008F2A60"/>
    <w:rsid w:val="008F74D2"/>
    <w:rsid w:val="00991794"/>
    <w:rsid w:val="009952DE"/>
    <w:rsid w:val="009C57F8"/>
    <w:rsid w:val="009E0515"/>
    <w:rsid w:val="00A060AF"/>
    <w:rsid w:val="00A50EBB"/>
    <w:rsid w:val="00A62D7A"/>
    <w:rsid w:val="00A67BE2"/>
    <w:rsid w:val="00A71325"/>
    <w:rsid w:val="00A8452E"/>
    <w:rsid w:val="00A9771F"/>
    <w:rsid w:val="00AC4040"/>
    <w:rsid w:val="00AD59A6"/>
    <w:rsid w:val="00AD76FB"/>
    <w:rsid w:val="00AF5446"/>
    <w:rsid w:val="00B064FB"/>
    <w:rsid w:val="00B1181B"/>
    <w:rsid w:val="00B22DB8"/>
    <w:rsid w:val="00B27915"/>
    <w:rsid w:val="00B731F5"/>
    <w:rsid w:val="00B746CC"/>
    <w:rsid w:val="00B904F5"/>
    <w:rsid w:val="00B91803"/>
    <w:rsid w:val="00B965A5"/>
    <w:rsid w:val="00B96E10"/>
    <w:rsid w:val="00BA1055"/>
    <w:rsid w:val="00BA2E26"/>
    <w:rsid w:val="00BB16E6"/>
    <w:rsid w:val="00BD5346"/>
    <w:rsid w:val="00BD7727"/>
    <w:rsid w:val="00BF0F70"/>
    <w:rsid w:val="00C17FE5"/>
    <w:rsid w:val="00C47AFF"/>
    <w:rsid w:val="00C53609"/>
    <w:rsid w:val="00CE6D71"/>
    <w:rsid w:val="00CF0D73"/>
    <w:rsid w:val="00CF76F9"/>
    <w:rsid w:val="00D077FD"/>
    <w:rsid w:val="00D13EEC"/>
    <w:rsid w:val="00D50CB5"/>
    <w:rsid w:val="00D90C70"/>
    <w:rsid w:val="00DA1CFD"/>
    <w:rsid w:val="00DE22AA"/>
    <w:rsid w:val="00DE5392"/>
    <w:rsid w:val="00E24A0E"/>
    <w:rsid w:val="00E4026B"/>
    <w:rsid w:val="00E72F0B"/>
    <w:rsid w:val="00E73DC4"/>
    <w:rsid w:val="00E82004"/>
    <w:rsid w:val="00E85EB0"/>
    <w:rsid w:val="00E93312"/>
    <w:rsid w:val="00EA5557"/>
    <w:rsid w:val="00EE5DEA"/>
    <w:rsid w:val="00F328EB"/>
    <w:rsid w:val="00F45CD2"/>
    <w:rsid w:val="00F56E46"/>
    <w:rsid w:val="00F77061"/>
    <w:rsid w:val="00FE76F2"/>
    <w:rsid w:val="017366D6"/>
    <w:rsid w:val="021B04E9"/>
    <w:rsid w:val="02990C86"/>
    <w:rsid w:val="04B252B7"/>
    <w:rsid w:val="04B4191A"/>
    <w:rsid w:val="050A002F"/>
    <w:rsid w:val="06696C18"/>
    <w:rsid w:val="08711E6A"/>
    <w:rsid w:val="08FE3622"/>
    <w:rsid w:val="0C5F6C9D"/>
    <w:rsid w:val="0C741652"/>
    <w:rsid w:val="0D244E26"/>
    <w:rsid w:val="0E927EE2"/>
    <w:rsid w:val="0EC773BC"/>
    <w:rsid w:val="116021A5"/>
    <w:rsid w:val="15082937"/>
    <w:rsid w:val="15363948"/>
    <w:rsid w:val="155142DE"/>
    <w:rsid w:val="178766DD"/>
    <w:rsid w:val="189E521C"/>
    <w:rsid w:val="18A33D59"/>
    <w:rsid w:val="18ED5352"/>
    <w:rsid w:val="196C5B8A"/>
    <w:rsid w:val="19A10B83"/>
    <w:rsid w:val="1B3A34BE"/>
    <w:rsid w:val="1CA64241"/>
    <w:rsid w:val="1E1A5BD2"/>
    <w:rsid w:val="1EFC2921"/>
    <w:rsid w:val="1F066139"/>
    <w:rsid w:val="1F602670"/>
    <w:rsid w:val="20C46CE7"/>
    <w:rsid w:val="21D40771"/>
    <w:rsid w:val="221E6C99"/>
    <w:rsid w:val="22804455"/>
    <w:rsid w:val="22CD10C1"/>
    <w:rsid w:val="22DD75EC"/>
    <w:rsid w:val="2492046F"/>
    <w:rsid w:val="24D665AE"/>
    <w:rsid w:val="25201F1F"/>
    <w:rsid w:val="258C10EE"/>
    <w:rsid w:val="2685203A"/>
    <w:rsid w:val="28D36AB7"/>
    <w:rsid w:val="28E3564E"/>
    <w:rsid w:val="2A790107"/>
    <w:rsid w:val="2A8A6882"/>
    <w:rsid w:val="2DB11966"/>
    <w:rsid w:val="2F191259"/>
    <w:rsid w:val="30A43A9F"/>
    <w:rsid w:val="30B71989"/>
    <w:rsid w:val="31F84007"/>
    <w:rsid w:val="348706B0"/>
    <w:rsid w:val="34CA4AB0"/>
    <w:rsid w:val="35074561"/>
    <w:rsid w:val="361D0E97"/>
    <w:rsid w:val="365D57F4"/>
    <w:rsid w:val="36EA2335"/>
    <w:rsid w:val="38D46E50"/>
    <w:rsid w:val="38F0754B"/>
    <w:rsid w:val="39875C71"/>
    <w:rsid w:val="3A6765BE"/>
    <w:rsid w:val="3AE01ADD"/>
    <w:rsid w:val="3C0D56D3"/>
    <w:rsid w:val="3CD46809"/>
    <w:rsid w:val="3D9C003E"/>
    <w:rsid w:val="3E9230EE"/>
    <w:rsid w:val="3F890995"/>
    <w:rsid w:val="41952C45"/>
    <w:rsid w:val="4340292E"/>
    <w:rsid w:val="47F44134"/>
    <w:rsid w:val="48154D05"/>
    <w:rsid w:val="48EC5AF0"/>
    <w:rsid w:val="4A9401EE"/>
    <w:rsid w:val="4AAD305D"/>
    <w:rsid w:val="4DA1334D"/>
    <w:rsid w:val="4DE374C2"/>
    <w:rsid w:val="4E487C6D"/>
    <w:rsid w:val="50030AC9"/>
    <w:rsid w:val="502B6EFE"/>
    <w:rsid w:val="5069558E"/>
    <w:rsid w:val="54212AF2"/>
    <w:rsid w:val="542A7E0B"/>
    <w:rsid w:val="54D23DEC"/>
    <w:rsid w:val="54DC2F82"/>
    <w:rsid w:val="582157B7"/>
    <w:rsid w:val="59D53026"/>
    <w:rsid w:val="5DDB3533"/>
    <w:rsid w:val="5FEC48FC"/>
    <w:rsid w:val="60E92BEA"/>
    <w:rsid w:val="642F3CCD"/>
    <w:rsid w:val="65DD4AF8"/>
    <w:rsid w:val="65FD2C93"/>
    <w:rsid w:val="66952ECC"/>
    <w:rsid w:val="6A4410A4"/>
    <w:rsid w:val="6B021A3D"/>
    <w:rsid w:val="6CB00A5F"/>
    <w:rsid w:val="6CC369E5"/>
    <w:rsid w:val="6D49122E"/>
    <w:rsid w:val="70260062"/>
    <w:rsid w:val="70567B70"/>
    <w:rsid w:val="70FD7628"/>
    <w:rsid w:val="772C3D4E"/>
    <w:rsid w:val="776B3F01"/>
    <w:rsid w:val="789E3E62"/>
    <w:rsid w:val="7961387E"/>
    <w:rsid w:val="7B2A40D3"/>
    <w:rsid w:val="7EEF0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4">
    <w:name w:val="annotation text"/>
    <w:basedOn w:val="1"/>
    <w:qFormat/>
    <w:uiPriority w:val="0"/>
    <w:pPr>
      <w:jc w:val="left"/>
    </w:pPr>
  </w:style>
  <w:style w:type="paragraph" w:styleId="5">
    <w:name w:val="Balloon Text"/>
    <w:basedOn w:val="1"/>
    <w:link w:val="15"/>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rPr>
      <w:sz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semiHidden/>
    <w:unhideWhenUsed/>
    <w:qFormat/>
    <w:uiPriority w:val="99"/>
    <w:rPr>
      <w:color w:val="0000FF"/>
      <w:u w:val="single"/>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character" w:customStyle="1" w:styleId="15">
    <w:name w:val="批注框文本 字符"/>
    <w:basedOn w:val="11"/>
    <w:link w:val="5"/>
    <w:semiHidden/>
    <w:qFormat/>
    <w:uiPriority w:val="99"/>
    <w:rPr>
      <w:kern w:val="2"/>
      <w:sz w:val="18"/>
      <w:szCs w:val="18"/>
    </w:rPr>
  </w:style>
  <w:style w:type="paragraph" w:styleId="16">
    <w:name w:val="List Paragraph"/>
    <w:basedOn w:val="1"/>
    <w:qFormat/>
    <w:uiPriority w:val="0"/>
    <w:pPr>
      <w:ind w:firstLine="420" w:firstLineChars="200"/>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9917</Words>
  <Characters>12972</Characters>
  <Lines>6</Lines>
  <Paragraphs>1</Paragraphs>
  <TotalTime>9</TotalTime>
  <ScaleCrop>false</ScaleCrop>
  <LinksUpToDate>false</LinksUpToDate>
  <CharactersWithSpaces>13914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Owen</cp:lastModifiedBy>
  <cp:lastPrinted>2025-12-05T09:18:00Z</cp:lastPrinted>
  <dcterms:modified xsi:type="dcterms:W3CDTF">2025-12-08T02:54:37Z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D5DECD27E7D24824BEE17900A679BA60_13</vt:lpwstr>
  </property>
  <property fmtid="{D5CDD505-2E9C-101B-9397-08002B2CF9AE}" pid="4" name="KSOTemplateDocerSaveRecord">
    <vt:lpwstr>eyJoZGlkIjoiYTk2YWIxMjRkMzkyMGRlZjExNTBiNzNiYWIyYjIyYzMiLCJ1c2VySWQiOiI0MjIzNDkyNTMifQ==</vt:lpwstr>
  </property>
</Properties>
</file>