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A31E">
      <w:pPr>
        <w:widowControl/>
        <w:jc w:val="left"/>
        <w:rPr>
          <w:rFonts w:ascii="黑体" w:hAnsi="黑体" w:eastAsia="黑体" w:cs="宋体"/>
          <w:b/>
          <w:bCs/>
          <w:color w:val="000000"/>
          <w:sz w:val="32"/>
          <w:szCs w:val="32"/>
        </w:rPr>
      </w:pPr>
      <w:r>
        <w:rPr>
          <w:rFonts w:hint="eastAsia" w:ascii="黑体" w:hAnsi="黑体" w:eastAsia="黑体" w:cs="宋体"/>
          <w:b/>
          <w:bCs/>
          <w:color w:val="000000"/>
          <w:sz w:val="32"/>
          <w:szCs w:val="32"/>
        </w:rPr>
        <w:t>附件</w:t>
      </w:r>
      <w:r>
        <w:rPr>
          <w:rFonts w:ascii="黑体" w:hAnsi="黑体" w:eastAsia="黑体" w:cs="宋体"/>
          <w:b/>
          <w:bCs/>
          <w:color w:val="000000"/>
          <w:sz w:val="32"/>
          <w:szCs w:val="32"/>
        </w:rPr>
        <w:t>1</w:t>
      </w:r>
    </w:p>
    <w:p w14:paraId="14439D33">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14:paraId="37A94A12">
      <w:pPr>
        <w:spacing w:line="400" w:lineRule="exact"/>
        <w:rPr>
          <w:rFonts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14:paraId="71730619">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14:paraId="626B555B">
      <w:pPr>
        <w:spacing w:line="400" w:lineRule="exact"/>
        <w:ind w:firstLine="632" w:firstLineChars="300"/>
        <w:rPr>
          <w:rFonts w:hint="eastAsia"/>
        </w:rPr>
      </w:pPr>
      <w:r>
        <w:rPr>
          <w:rFonts w:hint="eastAsia" w:ascii="宋体" w:hAnsi="宋体"/>
          <w:b/>
          <w:szCs w:val="24"/>
        </w:rPr>
        <w:t>3.本章中带▲号条款为实质性内容要求，投标时必须满足。</w:t>
      </w:r>
    </w:p>
    <w:tbl>
      <w:tblPr>
        <w:tblStyle w:val="6"/>
        <w:tblW w:w="10205" w:type="dxa"/>
        <w:jc w:val="center"/>
        <w:tblLayout w:type="fixed"/>
        <w:tblCellMar>
          <w:top w:w="13" w:type="dxa"/>
          <w:left w:w="57" w:type="dxa"/>
          <w:bottom w:w="0" w:type="dxa"/>
          <w:right w:w="57" w:type="dxa"/>
        </w:tblCellMar>
      </w:tblPr>
      <w:tblGrid>
        <w:gridCol w:w="398"/>
        <w:gridCol w:w="1023"/>
        <w:gridCol w:w="117"/>
        <w:gridCol w:w="1413"/>
        <w:gridCol w:w="5670"/>
        <w:gridCol w:w="750"/>
        <w:gridCol w:w="834"/>
      </w:tblGrid>
      <w:tr w14:paraId="451022AB">
        <w:tblPrEx>
          <w:tblCellMar>
            <w:top w:w="13" w:type="dxa"/>
            <w:left w:w="57" w:type="dxa"/>
            <w:bottom w:w="0" w:type="dxa"/>
            <w:right w:w="57" w:type="dxa"/>
          </w:tblCellMar>
        </w:tblPrEx>
        <w:trPr>
          <w:trHeight w:val="454" w:hRule="atLeast"/>
          <w:jc w:val="center"/>
        </w:trPr>
        <w:tc>
          <w:tcPr>
            <w:tcW w:w="10205"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5A6FB5">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14:paraId="3DFE6D32">
        <w:tblPrEx>
          <w:tblCellMar>
            <w:top w:w="13" w:type="dxa"/>
            <w:left w:w="57" w:type="dxa"/>
            <w:bottom w:w="0" w:type="dxa"/>
            <w:right w:w="57" w:type="dxa"/>
          </w:tblCellMar>
        </w:tblPrEx>
        <w:trPr>
          <w:trHeight w:val="454" w:hRule="atLeast"/>
          <w:jc w:val="center"/>
        </w:trPr>
        <w:tc>
          <w:tcPr>
            <w:tcW w:w="398"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9C5D23">
            <w:pPr>
              <w:jc w:val="center"/>
              <w:rPr>
                <w:rFonts w:ascii="宋体" w:hAnsi="宋体"/>
                <w:b/>
                <w:bCs/>
                <w:color w:val="000000"/>
                <w:kern w:val="0"/>
                <w:szCs w:val="21"/>
              </w:rPr>
            </w:pPr>
            <w:r>
              <w:rPr>
                <w:rFonts w:hint="eastAsia" w:ascii="宋体" w:hAnsi="宋体"/>
                <w:b/>
                <w:bCs/>
                <w:color w:val="000000"/>
                <w:kern w:val="0"/>
                <w:szCs w:val="21"/>
              </w:rPr>
              <w:t>序号</w:t>
            </w:r>
          </w:p>
        </w:tc>
        <w:tc>
          <w:tcPr>
            <w:tcW w:w="102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DAD47B3">
            <w:pPr>
              <w:jc w:val="center"/>
              <w:rPr>
                <w:rFonts w:ascii="宋体" w:hAnsi="宋体"/>
                <w:b/>
                <w:bCs/>
                <w:color w:val="000000"/>
                <w:szCs w:val="21"/>
              </w:rPr>
            </w:pPr>
            <w:r>
              <w:rPr>
                <w:rFonts w:hint="eastAsia" w:ascii="宋体" w:hAnsi="宋体"/>
                <w:b/>
                <w:bCs/>
                <w:color w:val="000000"/>
                <w:szCs w:val="21"/>
              </w:rPr>
              <w:t>采购内容</w:t>
            </w:r>
          </w:p>
        </w:tc>
        <w:tc>
          <w:tcPr>
            <w:tcW w:w="1530"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3E76DB4">
            <w:pPr>
              <w:jc w:val="center"/>
              <w:rPr>
                <w:rFonts w:ascii="宋体" w:hAnsi="宋体"/>
                <w:b/>
                <w:bCs/>
                <w:color w:val="000000"/>
                <w:kern w:val="0"/>
                <w:szCs w:val="21"/>
              </w:rPr>
            </w:pPr>
            <w:r>
              <w:rPr>
                <w:rFonts w:hint="eastAsia" w:ascii="宋体" w:hAnsi="宋体"/>
                <w:b/>
                <w:bCs/>
                <w:color w:val="000000"/>
                <w:szCs w:val="21"/>
              </w:rPr>
              <w:t>品牌型号要求</w:t>
            </w:r>
          </w:p>
        </w:tc>
        <w:tc>
          <w:tcPr>
            <w:tcW w:w="5670"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06CCCA0">
            <w:pPr>
              <w:jc w:val="center"/>
              <w:rPr>
                <w:rFonts w:ascii="宋体" w:hAnsi="宋体"/>
                <w:b/>
                <w:bCs/>
                <w:color w:val="000000"/>
                <w:szCs w:val="21"/>
              </w:rPr>
            </w:pPr>
            <w:r>
              <w:rPr>
                <w:rFonts w:hint="eastAsia" w:ascii="宋体" w:hAnsi="宋体" w:cs="仿宋_GB2312"/>
                <w:b/>
                <w:bCs/>
                <w:color w:val="000000"/>
                <w:kern w:val="0"/>
                <w:szCs w:val="21"/>
              </w:rPr>
              <w:t>技术参数</w:t>
            </w:r>
          </w:p>
        </w:tc>
        <w:tc>
          <w:tcPr>
            <w:tcW w:w="750" w:type="dxa"/>
            <w:tcBorders>
              <w:top w:val="single" w:color="auto" w:sz="4" w:space="0"/>
              <w:left w:val="nil"/>
              <w:bottom w:val="single" w:color="auto" w:sz="4" w:space="0"/>
              <w:right w:val="single" w:color="auto" w:sz="4" w:space="0"/>
            </w:tcBorders>
            <w:vAlign w:val="center"/>
          </w:tcPr>
          <w:p w14:paraId="02F049EE">
            <w:pPr>
              <w:jc w:val="center"/>
              <w:rPr>
                <w:rFonts w:ascii="宋体" w:hAnsi="宋体" w:cs="仿宋_GB2312"/>
                <w:b/>
                <w:bCs/>
                <w:color w:val="000000"/>
                <w:kern w:val="0"/>
                <w:szCs w:val="21"/>
              </w:rPr>
            </w:pPr>
            <w:r>
              <w:rPr>
                <w:rFonts w:hint="eastAsia" w:ascii="宋体" w:hAnsi="宋体" w:cs="仿宋_GB2312"/>
                <w:b/>
                <w:bCs/>
                <w:color w:val="000000"/>
                <w:kern w:val="0"/>
                <w:szCs w:val="21"/>
              </w:rPr>
              <w:t>计量</w:t>
            </w:r>
          </w:p>
          <w:p w14:paraId="46CDB968">
            <w:pPr>
              <w:jc w:val="center"/>
              <w:rPr>
                <w:rFonts w:ascii="宋体" w:hAnsi="宋体"/>
                <w:b/>
                <w:bCs/>
                <w:color w:val="000000"/>
                <w:szCs w:val="21"/>
              </w:rPr>
            </w:pPr>
            <w:r>
              <w:rPr>
                <w:rFonts w:hint="eastAsia" w:ascii="宋体" w:hAnsi="宋体" w:cs="仿宋_GB2312"/>
                <w:b/>
                <w:bCs/>
                <w:color w:val="000000"/>
                <w:kern w:val="0"/>
                <w:szCs w:val="21"/>
              </w:rPr>
              <w:t>单位</w:t>
            </w:r>
          </w:p>
        </w:tc>
        <w:tc>
          <w:tcPr>
            <w:tcW w:w="834" w:type="dxa"/>
            <w:tcBorders>
              <w:top w:val="single" w:color="auto" w:sz="4" w:space="0"/>
              <w:left w:val="nil"/>
              <w:bottom w:val="single" w:color="auto" w:sz="4" w:space="0"/>
              <w:right w:val="single" w:color="auto" w:sz="4" w:space="0"/>
            </w:tcBorders>
            <w:vAlign w:val="center"/>
          </w:tcPr>
          <w:p w14:paraId="1BC26339">
            <w:pPr>
              <w:jc w:val="center"/>
              <w:rPr>
                <w:rFonts w:ascii="宋体" w:hAnsi="宋体"/>
                <w:b/>
                <w:bCs/>
                <w:color w:val="000000"/>
                <w:szCs w:val="21"/>
              </w:rPr>
            </w:pPr>
            <w:r>
              <w:rPr>
                <w:rFonts w:hint="eastAsia" w:ascii="宋体" w:hAnsi="宋体" w:cs="仿宋_GB2312"/>
                <w:b/>
                <w:bCs/>
                <w:color w:val="000000"/>
                <w:kern w:val="0"/>
                <w:szCs w:val="21"/>
              </w:rPr>
              <w:t>数量</w:t>
            </w:r>
          </w:p>
        </w:tc>
      </w:tr>
      <w:tr w14:paraId="4B4DBF97">
        <w:tblPrEx>
          <w:tblCellMar>
            <w:top w:w="13" w:type="dxa"/>
            <w:left w:w="57" w:type="dxa"/>
            <w:bottom w:w="0" w:type="dxa"/>
            <w:right w:w="57" w:type="dxa"/>
          </w:tblCellMar>
        </w:tblPrEx>
        <w:trPr>
          <w:trHeight w:val="454" w:hRule="atLeast"/>
          <w:jc w:val="center"/>
        </w:trPr>
        <w:tc>
          <w:tcPr>
            <w:tcW w:w="398"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9F7623">
            <w:pPr>
              <w:pStyle w:val="9"/>
              <w:widowControl/>
              <w:numPr>
                <w:ilvl w:val="0"/>
                <w:numId w:val="2"/>
              </w:numPr>
              <w:ind w:firstLineChars="0"/>
              <w:jc w:val="center"/>
              <w:rPr>
                <w:rFonts w:ascii="宋体" w:hAnsi="宋体" w:cs="宋体"/>
                <w:color w:val="000000"/>
                <w:kern w:val="0"/>
                <w:lang w:bidi="zh-CN"/>
              </w:rPr>
            </w:pPr>
          </w:p>
        </w:tc>
        <w:tc>
          <w:tcPr>
            <w:tcW w:w="1023"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5066C45">
            <w:pPr>
              <w:widowControl/>
              <w:jc w:val="center"/>
              <w:rPr>
                <w:rFonts w:hint="eastAsia" w:ascii="宋体" w:hAnsi="宋体" w:cs="宋体"/>
                <w:color w:val="000000"/>
                <w:kern w:val="0"/>
                <w:szCs w:val="21"/>
                <w:lang w:bidi="zh-CN"/>
              </w:rPr>
            </w:pPr>
            <w:r>
              <w:rPr>
                <w:rFonts w:hint="eastAsia" w:ascii="宋体" w:hAnsi="宋体"/>
                <w:color w:val="000000"/>
                <w:kern w:val="0"/>
                <w:sz w:val="24"/>
                <w:szCs w:val="24"/>
              </w:rPr>
              <w:t>旋转蒸发仪维修服务</w:t>
            </w:r>
          </w:p>
        </w:tc>
        <w:tc>
          <w:tcPr>
            <w:tcW w:w="1530"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F1D9D">
            <w:pPr>
              <w:widowControl/>
              <w:jc w:val="center"/>
              <w:rPr>
                <w:rFonts w:hint="eastAsia" w:ascii="宋体" w:hAnsi="宋体" w:cs="宋体"/>
                <w:color w:val="000000"/>
                <w:kern w:val="0"/>
                <w:szCs w:val="21"/>
                <w:lang w:bidi="zh-CN"/>
              </w:rPr>
            </w:pPr>
            <w:r>
              <w:rPr>
                <w:rFonts w:hint="eastAsia" w:ascii="宋体" w:hAnsi="宋体"/>
                <w:color w:val="000000"/>
                <w:sz w:val="21"/>
                <w:szCs w:val="24"/>
                <w:lang w:val="zh-CN"/>
              </w:rPr>
              <w:t>海道尔夫20L</w:t>
            </w:r>
          </w:p>
        </w:tc>
        <w:tc>
          <w:tcPr>
            <w:tcW w:w="5670"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FEDA8C6">
            <w:pPr>
              <w:rPr>
                <w:rFonts w:hint="eastAsia" w:ascii="宋体" w:hAnsi="宋体" w:cs="宋体"/>
                <w:b/>
                <w:bCs/>
                <w:kern w:val="0"/>
                <w:sz w:val="21"/>
                <w:szCs w:val="21"/>
                <w:lang w:bidi="zh-CN"/>
              </w:rPr>
            </w:pPr>
            <w:r>
              <w:rPr>
                <w:rFonts w:hint="eastAsia" w:ascii="宋体" w:hAnsi="宋体" w:cs="宋体"/>
                <w:b/>
                <w:bCs/>
                <w:kern w:val="0"/>
                <w:sz w:val="21"/>
                <w:szCs w:val="21"/>
                <w:lang w:bidi="zh-CN"/>
              </w:rPr>
              <w:t>一、项目基本信息​</w:t>
            </w:r>
          </w:p>
          <w:p w14:paraId="39A44DCA">
            <w:pPr>
              <w:rPr>
                <w:rFonts w:hint="eastAsia" w:ascii="宋体" w:hAnsi="宋体" w:cs="宋体"/>
                <w:kern w:val="0"/>
                <w:sz w:val="21"/>
                <w:szCs w:val="21"/>
                <w:lang w:bidi="zh-CN"/>
              </w:rPr>
            </w:pPr>
            <w:r>
              <w:rPr>
                <w:rFonts w:hint="eastAsia" w:ascii="宋体" w:hAnsi="宋体" w:cs="宋体"/>
                <w:kern w:val="0"/>
                <w:sz w:val="21"/>
                <w:szCs w:val="21"/>
                <w:lang w:val="en-US" w:eastAsia="zh-CN" w:bidi="zh-CN"/>
              </w:rPr>
              <w:t>1、</w:t>
            </w:r>
            <w:r>
              <w:rPr>
                <w:rFonts w:hint="eastAsia" w:ascii="宋体" w:hAnsi="宋体" w:cs="宋体"/>
                <w:kern w:val="0"/>
                <w:sz w:val="21"/>
                <w:szCs w:val="21"/>
                <w:lang w:bidi="zh-CN"/>
              </w:rPr>
              <w:t>设备信息：品牌为海道尔夫（Heidolph），规格型号为 20L。</w:t>
            </w:r>
            <w:r>
              <w:rPr>
                <w:rFonts w:hint="eastAsia" w:ascii="宋体" w:hAnsi="宋体" w:cs="宋体"/>
                <w:kern w:val="0"/>
                <w:sz w:val="21"/>
                <w:szCs w:val="21"/>
                <w:lang w:val="en-US" w:bidi="zh-CN"/>
              </w:rPr>
              <w:t>2、</w:t>
            </w:r>
            <w:r>
              <w:rPr>
                <w:rFonts w:hint="eastAsia" w:ascii="宋体" w:hAnsi="宋体" w:cs="宋体"/>
                <w:kern w:val="0"/>
                <w:sz w:val="21"/>
                <w:szCs w:val="21"/>
                <w:lang w:bidi="zh-CN"/>
              </w:rPr>
              <w:t>故障描述：主板损坏、密封圈部分严重损坏导致漏气、显示控制屏无法显示、导流管破损</w:t>
            </w:r>
            <w:r>
              <w:rPr>
                <w:rFonts w:hint="eastAsia" w:ascii="宋体" w:hAnsi="宋体" w:cs="宋体"/>
                <w:kern w:val="0"/>
                <w:sz w:val="21"/>
                <w:szCs w:val="21"/>
                <w:lang w:eastAsia="zh-CN" w:bidi="zh-CN"/>
              </w:rPr>
              <w:t>、加料阀损坏、蒸馏瓶卡口器损坏</w:t>
            </w:r>
            <w:r>
              <w:rPr>
                <w:rFonts w:hint="eastAsia" w:ascii="宋体" w:hAnsi="宋体" w:cs="宋体"/>
                <w:kern w:val="0"/>
                <w:sz w:val="21"/>
                <w:szCs w:val="21"/>
                <w:lang w:bidi="zh-CN"/>
              </w:rPr>
              <w:t>。​</w:t>
            </w:r>
          </w:p>
          <w:p w14:paraId="01AE5593">
            <w:pPr>
              <w:rPr>
                <w:rFonts w:hint="eastAsia" w:ascii="宋体" w:hAnsi="宋体" w:cs="宋体"/>
                <w:kern w:val="0"/>
                <w:sz w:val="21"/>
                <w:szCs w:val="21"/>
                <w:lang w:bidi="zh-CN"/>
              </w:rPr>
            </w:pPr>
            <w:r>
              <w:rPr>
                <w:rFonts w:hint="eastAsia" w:ascii="宋体" w:hAnsi="宋体" w:cs="宋体"/>
                <w:kern w:val="0"/>
                <w:sz w:val="21"/>
                <w:szCs w:val="21"/>
                <w:lang w:val="en-US" w:bidi="zh-CN"/>
              </w:rPr>
              <w:t>3、</w:t>
            </w:r>
            <w:r>
              <w:rPr>
                <w:rFonts w:hint="eastAsia" w:ascii="宋体" w:hAnsi="宋体" w:cs="宋体"/>
                <w:kern w:val="0"/>
                <w:sz w:val="21"/>
                <w:szCs w:val="21"/>
                <w:lang w:bidi="zh-CN"/>
              </w:rPr>
              <w:t>预算金额：6</w:t>
            </w:r>
            <w:r>
              <w:rPr>
                <w:rFonts w:hint="eastAsia" w:ascii="宋体" w:hAnsi="宋体" w:cs="宋体"/>
                <w:kern w:val="0"/>
                <w:sz w:val="21"/>
                <w:szCs w:val="21"/>
                <w:lang w:val="en-US" w:bidi="zh-CN"/>
              </w:rPr>
              <w:t>3757</w:t>
            </w:r>
            <w:r>
              <w:rPr>
                <w:rFonts w:hint="eastAsia" w:ascii="宋体" w:hAnsi="宋体" w:cs="宋体"/>
                <w:kern w:val="0"/>
                <w:sz w:val="21"/>
                <w:szCs w:val="21"/>
                <w:lang w:bidi="zh-CN"/>
              </w:rPr>
              <w:t>元。</w:t>
            </w:r>
          </w:p>
          <w:p w14:paraId="43EA25E9">
            <w:pPr>
              <w:rPr>
                <w:rFonts w:hint="eastAsia" w:ascii="宋体" w:hAnsi="宋体" w:cs="宋体"/>
                <w:kern w:val="0"/>
                <w:sz w:val="21"/>
                <w:szCs w:val="21"/>
                <w:lang w:bidi="zh-CN"/>
              </w:rPr>
            </w:pPr>
            <w:r>
              <w:rPr>
                <w:rFonts w:hint="eastAsia" w:ascii="宋体" w:hAnsi="宋体"/>
                <w:b/>
                <w:sz w:val="21"/>
                <w:szCs w:val="21"/>
              </w:rPr>
              <w:t>▲</w:t>
            </w:r>
            <w:r>
              <w:rPr>
                <w:rFonts w:hint="eastAsia" w:ascii="宋体" w:hAnsi="宋体" w:cs="宋体"/>
                <w:kern w:val="0"/>
                <w:sz w:val="21"/>
                <w:szCs w:val="21"/>
                <w:lang w:val="en-US" w:bidi="zh-CN"/>
              </w:rPr>
              <w:t>4、</w:t>
            </w:r>
            <w:r>
              <w:rPr>
                <w:rFonts w:hint="eastAsia" w:ascii="宋体" w:hAnsi="宋体" w:cs="宋体"/>
                <w:kern w:val="0"/>
                <w:sz w:val="21"/>
                <w:szCs w:val="21"/>
                <w:lang w:bidi="zh-CN"/>
              </w:rPr>
              <w:t>维修周期：自合同签订之日起，5个</w:t>
            </w:r>
            <w:bookmarkStart w:id="0" w:name="_GoBack"/>
            <w:r>
              <w:rPr>
                <w:rFonts w:hint="eastAsia" w:ascii="宋体" w:hAnsi="宋体" w:cs="宋体"/>
                <w:kern w:val="0"/>
                <w:sz w:val="21"/>
                <w:szCs w:val="21"/>
                <w:lang w:bidi="zh-CN"/>
              </w:rPr>
              <w:t>自然</w:t>
            </w:r>
            <w:bookmarkEnd w:id="0"/>
            <w:r>
              <w:rPr>
                <w:rFonts w:hint="eastAsia" w:ascii="宋体" w:hAnsi="宋体" w:cs="宋体"/>
                <w:kern w:val="0"/>
                <w:sz w:val="21"/>
                <w:szCs w:val="21"/>
                <w:lang w:bidi="zh-CN"/>
              </w:rPr>
              <w:t>日内需完成全部维修工作并交付使用。​</w:t>
            </w:r>
          </w:p>
          <w:p w14:paraId="199EDDC4">
            <w:pPr>
              <w:rPr>
                <w:rFonts w:hint="eastAsia" w:ascii="宋体" w:hAnsi="宋体" w:cs="宋体"/>
                <w:kern w:val="0"/>
                <w:sz w:val="21"/>
                <w:szCs w:val="21"/>
                <w:lang w:bidi="zh-CN"/>
              </w:rPr>
            </w:pPr>
            <w:r>
              <w:rPr>
                <w:rFonts w:hint="eastAsia" w:ascii="宋体" w:hAnsi="宋体"/>
                <w:b/>
                <w:sz w:val="21"/>
                <w:szCs w:val="21"/>
              </w:rPr>
              <w:t>▲</w:t>
            </w:r>
            <w:r>
              <w:rPr>
                <w:rFonts w:hint="eastAsia" w:ascii="宋体" w:hAnsi="宋体" w:cs="宋体"/>
                <w:kern w:val="0"/>
                <w:sz w:val="21"/>
                <w:szCs w:val="21"/>
                <w:lang w:bidi="zh-CN"/>
              </w:rPr>
              <w:t>二、更换配件技术参数要求​</w:t>
            </w:r>
          </w:p>
          <w:p w14:paraId="5C85067E">
            <w:pPr>
              <w:rPr>
                <w:rFonts w:hint="eastAsia" w:ascii="宋体" w:hAnsi="宋体" w:cs="宋体"/>
                <w:kern w:val="0"/>
                <w:sz w:val="21"/>
                <w:szCs w:val="21"/>
                <w:lang w:val="en-US" w:bidi="zh-CN"/>
              </w:rPr>
            </w:pPr>
            <w:r>
              <w:rPr>
                <w:rFonts w:hint="eastAsia" w:ascii="宋体" w:hAnsi="宋体" w:cs="宋体"/>
                <w:kern w:val="0"/>
                <w:sz w:val="21"/>
                <w:szCs w:val="21"/>
                <w:lang w:val="en-US" w:bidi="zh-CN"/>
              </w:rPr>
              <w:t>（一）供电主板（1个）：必须为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原厂全新配件，型号与20L旋转蒸发仪主板完全匹配，输入电压、输出功率、接口规格等电气参数符合原厂标准，具备过流、过压保护功能，能稳定为设备各部件提供电力支持。​</w:t>
            </w:r>
          </w:p>
          <w:p w14:paraId="0C4D6032">
            <w:pPr>
              <w:rPr>
                <w:rFonts w:hint="eastAsia" w:ascii="宋体" w:hAnsi="宋体" w:cs="宋体"/>
                <w:kern w:val="0"/>
                <w:sz w:val="21"/>
                <w:szCs w:val="21"/>
                <w:lang w:val="en-US" w:bidi="zh-CN"/>
              </w:rPr>
            </w:pPr>
            <w:r>
              <w:rPr>
                <w:rFonts w:hint="eastAsia" w:ascii="宋体" w:hAnsi="宋体" w:cs="宋体"/>
                <w:kern w:val="0"/>
                <w:sz w:val="21"/>
                <w:szCs w:val="21"/>
                <w:lang w:val="en-US" w:bidi="zh-CN"/>
              </w:rPr>
              <w:t>（二）密封圈（1个）：必须为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原厂全新配件，适配 20L 旋转蒸发仪对应密封位置，材质为耐高低温、耐腐蚀的专用密封材料（如氟橡胶），尺寸精度符合原厂要求，安装后可确保设备无漏气现象。​</w:t>
            </w:r>
          </w:p>
          <w:p w14:paraId="092FB6B8">
            <w:pPr>
              <w:rPr>
                <w:rFonts w:hint="eastAsia" w:ascii="宋体" w:hAnsi="宋体" w:cs="宋体"/>
                <w:kern w:val="0"/>
                <w:sz w:val="21"/>
                <w:szCs w:val="21"/>
                <w:lang w:val="en-US" w:bidi="zh-CN"/>
              </w:rPr>
            </w:pPr>
            <w:r>
              <w:rPr>
                <w:rFonts w:hint="eastAsia" w:ascii="宋体" w:hAnsi="宋体" w:cs="宋体"/>
                <w:kern w:val="0"/>
                <w:sz w:val="21"/>
                <w:szCs w:val="21"/>
                <w:lang w:val="en-US" w:bidi="zh-CN"/>
              </w:rPr>
              <w:t>（三）显示控制屏（1个）：必须为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原厂全新配件，与设备主板兼容性强，屏幕尺寸、分辨率符合原厂标准，显示内容清晰完整，可准确反馈设备运行参数（如温度、转速等），触控或按键操作灵敏有效。​</w:t>
            </w:r>
          </w:p>
          <w:p w14:paraId="68AA73DE">
            <w:pPr>
              <w:rPr>
                <w:rFonts w:hint="eastAsia" w:ascii="宋体" w:hAnsi="宋体" w:cs="宋体"/>
                <w:kern w:val="0"/>
                <w:sz w:val="21"/>
                <w:szCs w:val="21"/>
                <w:lang w:val="en-US" w:bidi="zh-CN"/>
              </w:rPr>
            </w:pPr>
            <w:r>
              <w:rPr>
                <w:rFonts w:hint="eastAsia" w:ascii="宋体" w:hAnsi="宋体" w:cs="宋体"/>
                <w:kern w:val="0"/>
                <w:sz w:val="21"/>
                <w:szCs w:val="21"/>
                <w:lang w:val="en-US" w:bidi="zh-CN"/>
              </w:rPr>
              <w:t>（四）导流管（1个）：必须为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原厂全新配件，适配设备导流系统，材质为高透光、耐化学腐蚀的玻璃或专用塑料，管径、长度与原厂配件一致，无裂纹、杂质，安装后导流顺畅无泄漏。​</w:t>
            </w:r>
          </w:p>
          <w:p w14:paraId="7D1DEA61">
            <w:pPr>
              <w:rPr>
                <w:rFonts w:hint="eastAsia" w:ascii="宋体" w:hAnsi="宋体" w:cs="宋体"/>
                <w:kern w:val="0"/>
                <w:sz w:val="21"/>
                <w:szCs w:val="21"/>
                <w:lang w:val="en-US" w:bidi="zh-CN"/>
              </w:rPr>
            </w:pPr>
            <w:r>
              <w:rPr>
                <w:rFonts w:hint="eastAsia" w:ascii="宋体" w:hAnsi="宋体" w:cs="宋体"/>
                <w:kern w:val="0"/>
                <w:sz w:val="21"/>
                <w:szCs w:val="21"/>
                <w:lang w:val="en-US" w:bidi="zh-CN"/>
              </w:rPr>
              <w:t>（五）加料阀（1个）：必须为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原厂全新配件，型号匹配20L旋转蒸发仪加料系统，阀体材质耐腐蚀，阀芯密封性能良好，开关操作灵活，关闭时无滴漏，开启时加料流量可控。​</w:t>
            </w:r>
          </w:p>
          <w:p w14:paraId="35D29273">
            <w:pPr>
              <w:rPr>
                <w:rFonts w:hint="eastAsia" w:ascii="宋体" w:hAnsi="宋体" w:cs="宋体"/>
                <w:kern w:val="0"/>
                <w:sz w:val="21"/>
                <w:szCs w:val="21"/>
                <w:lang w:val="en-US" w:bidi="zh-CN"/>
              </w:rPr>
            </w:pPr>
            <w:r>
              <w:rPr>
                <w:rFonts w:hint="eastAsia" w:ascii="宋体" w:hAnsi="宋体" w:cs="宋体"/>
                <w:kern w:val="0"/>
                <w:sz w:val="21"/>
                <w:szCs w:val="21"/>
                <w:lang w:val="en-US" w:bidi="zh-CN"/>
              </w:rPr>
              <w:t>（六）蒸馏瓶卡口器（1个）：必须为</w:t>
            </w:r>
            <w:r>
              <w:rPr>
                <w:rFonts w:hint="eastAsia" w:ascii="宋体" w:hAnsi="宋体" w:cs="宋体"/>
                <w:kern w:val="0"/>
                <w:sz w:val="21"/>
                <w:szCs w:val="21"/>
                <w:lang w:bidi="zh-CN"/>
              </w:rPr>
              <w:t>海道尔夫（Heidolph）</w:t>
            </w:r>
            <w:r>
              <w:rPr>
                <w:rFonts w:hint="eastAsia" w:ascii="宋体" w:hAnsi="宋体" w:cs="宋体"/>
                <w:kern w:val="0"/>
                <w:sz w:val="21"/>
                <w:szCs w:val="21"/>
                <w:lang w:val="en-US" w:bidi="zh-CN"/>
              </w:rPr>
              <w:t>原厂全新配件，适配设备蒸馏瓶规格，材质为高强度金属或工程塑料，卡口尺寸精度高，夹持力度适中，能牢固固定蒸馏瓶，且装卸便捷。</w:t>
            </w:r>
          </w:p>
          <w:p w14:paraId="7692C27B">
            <w:pPr>
              <w:rPr>
                <w:rFonts w:hint="eastAsia" w:ascii="宋体" w:hAnsi="宋体" w:cs="宋体"/>
                <w:kern w:val="0"/>
                <w:sz w:val="21"/>
                <w:szCs w:val="21"/>
                <w:lang w:bidi="zh-CN"/>
              </w:rPr>
            </w:pPr>
            <w:r>
              <w:rPr>
                <w:rFonts w:hint="eastAsia" w:ascii="宋体" w:hAnsi="宋体" w:cs="宋体"/>
                <w:kern w:val="0"/>
                <w:sz w:val="21"/>
                <w:szCs w:val="21"/>
                <w:lang w:bidi="zh-CN"/>
              </w:rPr>
              <w:t>三、验收与质保要求​</w:t>
            </w:r>
          </w:p>
          <w:p w14:paraId="6ED563A6">
            <w:pPr>
              <w:rPr>
                <w:rFonts w:hint="eastAsia" w:ascii="宋体" w:hAnsi="宋体" w:cs="宋体"/>
                <w:kern w:val="0"/>
                <w:sz w:val="21"/>
                <w:szCs w:val="21"/>
                <w:lang w:bidi="zh-CN"/>
              </w:rPr>
            </w:pPr>
            <w:r>
              <w:rPr>
                <w:rFonts w:hint="eastAsia" w:ascii="宋体" w:hAnsi="宋体" w:cs="宋体"/>
                <w:kern w:val="0"/>
                <w:sz w:val="21"/>
                <w:szCs w:val="21"/>
                <w:lang w:val="en-US" w:bidi="zh-CN"/>
              </w:rPr>
              <w:t>1、</w:t>
            </w:r>
            <w:r>
              <w:rPr>
                <w:rFonts w:hint="eastAsia" w:ascii="宋体" w:hAnsi="宋体" w:cs="宋体"/>
                <w:kern w:val="0"/>
                <w:sz w:val="21"/>
                <w:szCs w:val="21"/>
                <w:lang w:bidi="zh-CN"/>
              </w:rPr>
              <w:t>验收标准：配件经为原厂全新无缺陷；成交人提供维修报告，采购方现场测试设备运行正常。</w:t>
            </w:r>
          </w:p>
          <w:p w14:paraId="23C4CB5A">
            <w:pPr>
              <w:rPr>
                <w:rFonts w:hint="eastAsia" w:ascii="宋体" w:hAnsi="宋体" w:cs="宋体"/>
                <w:kern w:val="0"/>
                <w:sz w:val="18"/>
                <w:szCs w:val="18"/>
                <w:lang w:bidi="zh-CN"/>
              </w:rPr>
            </w:pPr>
            <w:r>
              <w:rPr>
                <w:rFonts w:hint="eastAsia" w:ascii="宋体" w:hAnsi="宋体" w:cs="宋体"/>
                <w:kern w:val="0"/>
                <w:sz w:val="21"/>
                <w:szCs w:val="21"/>
                <w:lang w:val="en-US" w:bidi="zh-CN"/>
              </w:rPr>
              <w:t>2、</w:t>
            </w:r>
            <w:r>
              <w:rPr>
                <w:rFonts w:hint="eastAsia" w:ascii="宋体" w:hAnsi="宋体" w:cs="宋体"/>
                <w:kern w:val="0"/>
                <w:sz w:val="21"/>
                <w:szCs w:val="21"/>
                <w:lang w:bidi="zh-CN"/>
              </w:rPr>
              <w:t>质保要求：所有更换配件质保期≥12个月（自验收合格起）；质保期内故障</w:t>
            </w:r>
            <w:r>
              <w:rPr>
                <w:rFonts w:hint="eastAsia" w:ascii="宋体" w:hAnsi="宋体" w:cs="宋体"/>
                <w:kern w:val="0"/>
                <w:sz w:val="21"/>
                <w:szCs w:val="21"/>
                <w:lang w:val="en-US" w:bidi="zh-CN"/>
              </w:rPr>
              <w:t>30分钟内</w:t>
            </w:r>
            <w:r>
              <w:rPr>
                <w:rFonts w:hint="eastAsia" w:ascii="宋体" w:hAnsi="宋体" w:cs="宋体"/>
                <w:kern w:val="0"/>
                <w:sz w:val="21"/>
                <w:szCs w:val="21"/>
                <w:lang w:bidi="zh-CN"/>
              </w:rPr>
              <w:t>响应，提供免费技术咨询。</w:t>
            </w:r>
          </w:p>
        </w:tc>
        <w:tc>
          <w:tcPr>
            <w:tcW w:w="750" w:type="dxa"/>
            <w:tcBorders>
              <w:top w:val="single" w:color="auto" w:sz="4" w:space="0"/>
              <w:left w:val="nil"/>
              <w:bottom w:val="single" w:color="auto" w:sz="4" w:space="0"/>
              <w:right w:val="single" w:color="auto" w:sz="4" w:space="0"/>
            </w:tcBorders>
            <w:vAlign w:val="center"/>
          </w:tcPr>
          <w:p w14:paraId="5963FEC7">
            <w:pPr>
              <w:widowControl/>
              <w:jc w:val="center"/>
              <w:rPr>
                <w:rFonts w:hint="eastAsia" w:ascii="宋体" w:hAnsi="宋体" w:eastAsia="宋体" w:cs="宋体"/>
                <w:color w:val="000000"/>
                <w:kern w:val="0"/>
                <w:szCs w:val="21"/>
                <w:lang w:val="en-US" w:eastAsia="zh-CN" w:bidi="zh-CN"/>
              </w:rPr>
            </w:pPr>
            <w:r>
              <w:rPr>
                <w:rFonts w:hint="eastAsia" w:ascii="宋体" w:hAnsi="宋体" w:cs="宋体"/>
                <w:color w:val="000000"/>
                <w:kern w:val="0"/>
                <w:szCs w:val="21"/>
                <w:lang w:val="en-US" w:eastAsia="zh-CN" w:bidi="zh-CN"/>
              </w:rPr>
              <w:t>台</w:t>
            </w:r>
          </w:p>
        </w:tc>
        <w:tc>
          <w:tcPr>
            <w:tcW w:w="834" w:type="dxa"/>
            <w:tcBorders>
              <w:top w:val="single" w:color="auto" w:sz="4" w:space="0"/>
              <w:left w:val="nil"/>
              <w:bottom w:val="single" w:color="auto" w:sz="4" w:space="0"/>
              <w:right w:val="single" w:color="auto" w:sz="4" w:space="0"/>
            </w:tcBorders>
            <w:vAlign w:val="center"/>
          </w:tcPr>
          <w:p w14:paraId="56F3D63E">
            <w:pPr>
              <w:widowControl/>
              <w:jc w:val="center"/>
              <w:rPr>
                <w:rFonts w:ascii="宋体" w:hAnsi="宋体" w:cs="宋体"/>
                <w:color w:val="000000"/>
                <w:kern w:val="0"/>
                <w:szCs w:val="21"/>
                <w:highlight w:val="yellow"/>
                <w:lang w:bidi="zh-CN"/>
              </w:rPr>
            </w:pPr>
            <w:r>
              <w:rPr>
                <w:rFonts w:hint="eastAsia" w:ascii="宋体" w:hAnsi="宋体" w:cs="宋体"/>
                <w:color w:val="000000"/>
                <w:kern w:val="0"/>
                <w:szCs w:val="21"/>
                <w:lang w:val="en-US" w:bidi="zh-CN"/>
              </w:rPr>
              <w:t>1</w:t>
            </w:r>
          </w:p>
        </w:tc>
      </w:tr>
      <w:tr w14:paraId="2DCEF4C4">
        <w:tblPrEx>
          <w:tblCellMar>
            <w:top w:w="13" w:type="dxa"/>
            <w:left w:w="57" w:type="dxa"/>
            <w:bottom w:w="0" w:type="dxa"/>
            <w:right w:w="57" w:type="dxa"/>
          </w:tblCellMar>
        </w:tblPrEx>
        <w:trPr>
          <w:trHeight w:val="454" w:hRule="atLeast"/>
          <w:jc w:val="center"/>
        </w:trPr>
        <w:tc>
          <w:tcPr>
            <w:tcW w:w="10205"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C3807B4">
            <w:pPr>
              <w:rPr>
                <w:rFonts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14:paraId="590FEC4B">
        <w:tblPrEx>
          <w:tblCellMar>
            <w:top w:w="13" w:type="dxa"/>
            <w:left w:w="57" w:type="dxa"/>
            <w:bottom w:w="0" w:type="dxa"/>
            <w:right w:w="57" w:type="dxa"/>
          </w:tblCellMar>
        </w:tblPrEx>
        <w:trPr>
          <w:trHeight w:val="20"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6385515">
            <w:pPr>
              <w:jc w:val="center"/>
              <w:rPr>
                <w:rFonts w:hint="eastAsia" w:ascii="宋体" w:hAnsi="宋体" w:cs="宋体"/>
                <w:b/>
                <w:bCs/>
                <w:szCs w:val="21"/>
              </w:rPr>
            </w:pPr>
            <w:r>
              <w:rPr>
                <w:rFonts w:hint="eastAsia" w:ascii="宋体" w:hAnsi="宋体" w:cs="宋体"/>
                <w:b/>
                <w:bCs/>
                <w:szCs w:val="21"/>
              </w:rPr>
              <w:t>质保期</w:t>
            </w:r>
          </w:p>
        </w:tc>
        <w:tc>
          <w:tcPr>
            <w:tcW w:w="8667"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4A9D9089">
            <w:pPr>
              <w:rPr>
                <w:rFonts w:ascii="宋体" w:hAnsi="宋体" w:cs="宋体"/>
                <w:szCs w:val="21"/>
                <w:highlight w:val="none"/>
              </w:rPr>
            </w:pPr>
            <w:r>
              <w:rPr>
                <w:rFonts w:ascii="宋体" w:hAnsi="宋体" w:cs="宋体"/>
                <w:b/>
                <w:szCs w:val="21"/>
                <w:highlight w:val="none"/>
              </w:rPr>
              <w:t>1.</w:t>
            </w:r>
            <w:r>
              <w:rPr>
                <w:rFonts w:hint="eastAsia" w:ascii="宋体" w:hAnsi="宋体" w:cs="宋体"/>
                <w:b/>
                <w:szCs w:val="21"/>
                <w:highlight w:val="none"/>
              </w:rPr>
              <w:t>质保期</w:t>
            </w:r>
            <w:r>
              <w:rPr>
                <w:rFonts w:hint="eastAsia" w:ascii="宋体" w:hAnsi="宋体" w:cs="宋体"/>
                <w:b/>
                <w:szCs w:val="21"/>
                <w:highlight w:val="none"/>
                <w:lang w:eastAsia="zh-CN"/>
              </w:rPr>
              <w:t>三个月</w:t>
            </w:r>
            <w:r>
              <w:rPr>
                <w:rFonts w:hint="eastAsia" w:ascii="宋体" w:hAnsi="宋体" w:cs="宋体"/>
                <w:b/>
                <w:szCs w:val="21"/>
                <w:highlight w:val="none"/>
              </w:rPr>
              <w:t>。</w:t>
            </w:r>
          </w:p>
          <w:p w14:paraId="3F7A4CB0">
            <w:pPr>
              <w:rPr>
                <w:rFonts w:hint="eastAsia" w:ascii="宋体" w:hAnsi="宋体" w:cs="宋体"/>
                <w:szCs w:val="21"/>
                <w:highlight w:val="none"/>
              </w:rPr>
            </w:pPr>
            <w:r>
              <w:rPr>
                <w:rFonts w:hint="eastAsia" w:ascii="宋体" w:hAnsi="宋体" w:cs="宋体"/>
                <w:szCs w:val="21"/>
                <w:highlight w:val="none"/>
              </w:rPr>
              <w:t>2.所有货物服务</w:t>
            </w:r>
            <w:r>
              <w:rPr>
                <w:rFonts w:ascii="宋体" w:hAnsi="宋体" w:cs="宋体"/>
                <w:szCs w:val="21"/>
                <w:highlight w:val="none"/>
              </w:rPr>
              <w:t>按</w:t>
            </w:r>
            <w:r>
              <w:rPr>
                <w:rFonts w:hint="eastAsia" w:ascii="宋体" w:hAnsi="宋体" w:cs="宋体"/>
                <w:szCs w:val="21"/>
                <w:highlight w:val="none"/>
              </w:rPr>
              <w:t>国家</w:t>
            </w:r>
            <w:r>
              <w:rPr>
                <w:rFonts w:ascii="宋体" w:hAnsi="宋体" w:cs="宋体"/>
                <w:szCs w:val="21"/>
                <w:highlight w:val="none"/>
              </w:rPr>
              <w:t>“三包”</w:t>
            </w:r>
            <w:r>
              <w:rPr>
                <w:rFonts w:hint="eastAsia" w:ascii="宋体" w:hAnsi="宋体" w:cs="宋体"/>
                <w:szCs w:val="21"/>
                <w:highlight w:val="none"/>
              </w:rPr>
              <w:t>有关</w:t>
            </w:r>
            <w:r>
              <w:rPr>
                <w:rFonts w:ascii="宋体" w:hAnsi="宋体" w:cs="宋体"/>
                <w:szCs w:val="21"/>
                <w:highlight w:val="none"/>
              </w:rPr>
              <w:t>规定执行“三包”</w:t>
            </w:r>
            <w:r>
              <w:rPr>
                <w:rFonts w:hint="eastAsia" w:ascii="宋体" w:hAnsi="宋体" w:cs="宋体"/>
                <w:szCs w:val="21"/>
                <w:highlight w:val="none"/>
              </w:rPr>
              <w:t>。质保期自交付验收合格之日起计算，质保期内提供</w:t>
            </w:r>
            <w:r>
              <w:rPr>
                <w:rFonts w:hint="eastAsia" w:ascii="宋体" w:hAnsi="宋体" w:cs="宋体"/>
                <w:szCs w:val="21"/>
                <w:highlight w:val="none"/>
                <w:lang w:eastAsia="zh-CN"/>
              </w:rPr>
              <w:t>免费</w:t>
            </w:r>
            <w:r>
              <w:rPr>
                <w:rFonts w:hint="eastAsia" w:ascii="宋体" w:hAnsi="宋体" w:cs="宋体"/>
                <w:szCs w:val="21"/>
                <w:highlight w:val="none"/>
              </w:rPr>
              <w:t>上门维修。</w:t>
            </w:r>
          </w:p>
        </w:tc>
      </w:tr>
      <w:tr w14:paraId="0A4068C3">
        <w:tblPrEx>
          <w:tblCellMar>
            <w:top w:w="13" w:type="dxa"/>
            <w:left w:w="57" w:type="dxa"/>
            <w:bottom w:w="0" w:type="dxa"/>
            <w:right w:w="57" w:type="dxa"/>
          </w:tblCellMar>
        </w:tblPrEx>
        <w:trPr>
          <w:trHeight w:val="20"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95975F4">
            <w:pPr>
              <w:jc w:val="center"/>
              <w:rPr>
                <w:rFonts w:hint="eastAsia" w:ascii="宋体" w:hAnsi="宋体" w:cs="宋体"/>
                <w:b/>
                <w:bCs/>
                <w:szCs w:val="21"/>
              </w:rPr>
            </w:pPr>
            <w:r>
              <w:rPr>
                <w:rFonts w:hint="eastAsia" w:ascii="宋体" w:hAnsi="宋体" w:cs="宋体"/>
                <w:b/>
                <w:bCs/>
                <w:szCs w:val="21"/>
              </w:rPr>
              <w:t>产品及售后服务要求</w:t>
            </w:r>
          </w:p>
        </w:tc>
        <w:tc>
          <w:tcPr>
            <w:tcW w:w="8667"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B73A4A">
            <w:pPr>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lang w:eastAsia="zh-CN"/>
              </w:rPr>
              <w:t>成交人</w:t>
            </w:r>
            <w:r>
              <w:rPr>
                <w:rFonts w:hint="eastAsia" w:ascii="宋体" w:hAnsi="宋体" w:cs="宋体"/>
                <w:szCs w:val="21"/>
                <w:highlight w:val="none"/>
              </w:rPr>
              <w:t>所提供的供电主板、密封圈、显示控制屏、导流管</w:t>
            </w:r>
            <w:r>
              <w:rPr>
                <w:rFonts w:hint="eastAsia" w:ascii="宋体" w:hAnsi="宋体" w:cs="宋体"/>
                <w:szCs w:val="21"/>
                <w:highlight w:val="none"/>
                <w:lang w:eastAsia="zh-CN"/>
              </w:rPr>
              <w:t>、加料阀、蒸馏瓶卡口器</w:t>
            </w:r>
            <w:r>
              <w:rPr>
                <w:rFonts w:hint="eastAsia" w:ascii="宋体" w:hAnsi="宋体" w:cs="宋体"/>
                <w:szCs w:val="21"/>
                <w:highlight w:val="none"/>
              </w:rPr>
              <w:t>均须为海道尔夫（Heidolph）原厂全新未拆封配件，严禁提供翻新、仿冒、副厂或返修配件。</w:t>
            </w:r>
          </w:p>
          <w:p w14:paraId="0141D358">
            <w:pPr>
              <w:spacing w:line="380" w:lineRule="exact"/>
              <w:rPr>
                <w:rFonts w:ascii="宋体" w:hAnsi="宋体" w:cs="宋体"/>
                <w:szCs w:val="21"/>
                <w:highlight w:val="none"/>
              </w:rPr>
            </w:pPr>
            <w:r>
              <w:rPr>
                <w:rFonts w:hint="eastAsia" w:ascii="宋体" w:hAnsi="宋体" w:cs="宋体"/>
                <w:szCs w:val="21"/>
                <w:highlight w:val="none"/>
                <w:lang w:val="en-US" w:eastAsia="zh-CN"/>
              </w:rPr>
              <w:t>2</w:t>
            </w:r>
            <w:r>
              <w:rPr>
                <w:rFonts w:ascii="宋体" w:hAnsi="宋体" w:cs="宋体"/>
                <w:szCs w:val="21"/>
                <w:highlight w:val="none"/>
              </w:rPr>
              <w:t>.</w:t>
            </w:r>
            <w:r>
              <w:rPr>
                <w:rFonts w:hint="eastAsia" w:ascii="宋体" w:hAnsi="宋体" w:cs="宋体"/>
                <w:szCs w:val="21"/>
                <w:highlight w:val="none"/>
                <w:lang w:eastAsia="zh-CN"/>
              </w:rPr>
              <w:t>质保期内，成交人提供7×</w:t>
            </w:r>
            <w:r>
              <w:rPr>
                <w:rFonts w:hint="eastAsia" w:ascii="宋体" w:hAnsi="宋体" w:cs="宋体"/>
                <w:szCs w:val="21"/>
                <w:highlight w:val="none"/>
                <w:lang w:val="en-US" w:eastAsia="zh-CN"/>
              </w:rPr>
              <w:t>24</w:t>
            </w:r>
            <w:r>
              <w:rPr>
                <w:rFonts w:hint="eastAsia" w:ascii="宋体" w:hAnsi="宋体" w:cs="宋体"/>
                <w:szCs w:val="21"/>
                <w:highlight w:val="none"/>
                <w:lang w:eastAsia="zh-CN"/>
              </w:rPr>
              <w:t>小时技术咨询服务，解答设备使用、维护、常见问题处理等疑问。</w:t>
            </w:r>
            <w:r>
              <w:rPr>
                <w:rFonts w:hint="eastAsia" w:ascii="Arial" w:hAnsi="Arial" w:cs="Arial"/>
                <w:szCs w:val="21"/>
                <w:highlight w:val="none"/>
                <w:lang w:eastAsia="zh-CN"/>
              </w:rPr>
              <w:t>成交人</w:t>
            </w:r>
            <w:r>
              <w:rPr>
                <w:rFonts w:hint="eastAsia" w:ascii="Arial" w:hAnsi="Arial" w:cs="Arial"/>
                <w:szCs w:val="21"/>
                <w:highlight w:val="none"/>
              </w:rPr>
              <w:t>在接到</w:t>
            </w:r>
            <w:r>
              <w:rPr>
                <w:rFonts w:hint="eastAsia" w:ascii="Arial" w:hAnsi="Arial" w:cs="Arial"/>
                <w:szCs w:val="21"/>
                <w:highlight w:val="none"/>
                <w:lang w:eastAsia="zh-CN"/>
              </w:rPr>
              <w:t>采购人</w:t>
            </w:r>
            <w:r>
              <w:rPr>
                <w:rFonts w:hint="eastAsia" w:ascii="Arial" w:hAnsi="Arial" w:cs="Arial"/>
                <w:szCs w:val="21"/>
                <w:highlight w:val="none"/>
              </w:rPr>
              <w:t>通知后</w:t>
            </w:r>
            <w:r>
              <w:rPr>
                <w:rFonts w:hint="eastAsia" w:ascii="Arial" w:hAnsi="Arial" w:cs="Arial"/>
                <w:szCs w:val="21"/>
                <w:highlight w:val="none"/>
                <w:lang w:eastAsia="zh-CN"/>
              </w:rPr>
              <w:t>需</w:t>
            </w:r>
            <w:r>
              <w:rPr>
                <w:rFonts w:hint="eastAsia" w:ascii="Arial" w:hAnsi="Arial" w:cs="Arial"/>
                <w:szCs w:val="21"/>
                <w:highlight w:val="none"/>
                <w:lang w:val="en-US" w:eastAsia="zh-CN"/>
              </w:rPr>
              <w:t>30分钟内响应，1小时到达现场。</w:t>
            </w:r>
          </w:p>
          <w:p w14:paraId="51B287EE">
            <w:pPr>
              <w:rPr>
                <w:rFonts w:hint="eastAsia" w:ascii="宋体" w:hAnsi="宋体" w:cs="宋体"/>
                <w:szCs w:val="21"/>
                <w:highlight w:val="none"/>
              </w:rPr>
            </w:pPr>
            <w:r>
              <w:rPr>
                <w:rFonts w:hint="eastAsia" w:ascii="宋体" w:hAnsi="宋体" w:cs="宋体"/>
                <w:szCs w:val="21"/>
                <w:highlight w:val="none"/>
                <w:lang w:val="en-US" w:eastAsia="zh-CN"/>
              </w:rPr>
              <w:t>3</w:t>
            </w:r>
            <w:r>
              <w:rPr>
                <w:rFonts w:ascii="宋体" w:hAnsi="宋体" w:cs="宋体"/>
                <w:szCs w:val="21"/>
                <w:highlight w:val="none"/>
              </w:rPr>
              <w:t>.</w:t>
            </w:r>
            <w:r>
              <w:rPr>
                <w:rFonts w:hint="eastAsia" w:ascii="宋体" w:hAnsi="宋体" w:cs="宋体"/>
                <w:szCs w:val="21"/>
                <w:highlight w:val="none"/>
              </w:rPr>
              <w:t>成交人须遵守校园出入规定，在</w:t>
            </w:r>
            <w:r>
              <w:rPr>
                <w:rFonts w:hint="eastAsia" w:ascii="宋体" w:hAnsi="宋体" w:cs="宋体"/>
                <w:szCs w:val="21"/>
                <w:highlight w:val="none"/>
                <w:lang w:eastAsia="zh-CN"/>
              </w:rPr>
              <w:t>维修</w:t>
            </w:r>
            <w:r>
              <w:rPr>
                <w:rFonts w:hint="eastAsia" w:ascii="宋体" w:hAnsi="宋体" w:cs="宋体"/>
                <w:szCs w:val="21"/>
                <w:highlight w:val="none"/>
              </w:rPr>
              <w:t>过程中确保相关人员安全。</w:t>
            </w:r>
            <w:r>
              <w:rPr>
                <w:rFonts w:hint="eastAsia" w:ascii="宋体" w:hAnsi="宋体" w:cs="宋体"/>
                <w:szCs w:val="21"/>
                <w:highlight w:val="none"/>
                <w:lang w:eastAsia="zh-CN"/>
              </w:rPr>
              <w:t>维修</w:t>
            </w:r>
            <w:r>
              <w:rPr>
                <w:rFonts w:ascii="宋体" w:hAnsi="宋体" w:cs="宋体"/>
                <w:szCs w:val="21"/>
                <w:highlight w:val="none"/>
              </w:rPr>
              <w:t>过程中产生的残留物或垃圾，</w:t>
            </w:r>
            <w:r>
              <w:rPr>
                <w:rFonts w:hint="eastAsia" w:ascii="宋体" w:hAnsi="宋体" w:cs="宋体"/>
                <w:szCs w:val="21"/>
                <w:highlight w:val="none"/>
                <w:lang w:eastAsia="zh-CN"/>
              </w:rPr>
              <w:t>成交人</w:t>
            </w:r>
            <w:r>
              <w:rPr>
                <w:rFonts w:hint="eastAsia" w:ascii="宋体" w:hAnsi="宋体" w:cs="宋体"/>
                <w:szCs w:val="21"/>
                <w:highlight w:val="none"/>
              </w:rPr>
              <w:t>需</w:t>
            </w:r>
            <w:r>
              <w:rPr>
                <w:rFonts w:ascii="宋体" w:hAnsi="宋体" w:cs="宋体"/>
                <w:szCs w:val="21"/>
                <w:highlight w:val="none"/>
              </w:rPr>
              <w:t>自行清理至校外。</w:t>
            </w:r>
          </w:p>
        </w:tc>
      </w:tr>
      <w:tr w14:paraId="627C8BD3">
        <w:tblPrEx>
          <w:tblCellMar>
            <w:top w:w="13" w:type="dxa"/>
            <w:left w:w="57" w:type="dxa"/>
            <w:bottom w:w="0" w:type="dxa"/>
            <w:right w:w="57" w:type="dxa"/>
          </w:tblCellMar>
        </w:tblPrEx>
        <w:trPr>
          <w:trHeight w:val="454"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94DE79">
            <w:pPr>
              <w:jc w:val="center"/>
              <w:rPr>
                <w:rFonts w:hint="eastAsia" w:ascii="宋体" w:hAnsi="宋体" w:cs="宋体"/>
                <w:b/>
                <w:bCs/>
                <w:szCs w:val="21"/>
              </w:rPr>
            </w:pPr>
            <w:r>
              <w:rPr>
                <w:rFonts w:hint="eastAsia" w:ascii="宋体" w:hAnsi="宋体" w:cs="宋体"/>
                <w:b/>
                <w:bCs/>
                <w:szCs w:val="21"/>
              </w:rPr>
              <w:t>交付时间、交付地点</w:t>
            </w:r>
          </w:p>
        </w:tc>
        <w:tc>
          <w:tcPr>
            <w:tcW w:w="8667"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1B8C3B8">
            <w:pPr>
              <w:rPr>
                <w:rFonts w:ascii="宋体" w:hAnsi="宋体" w:cs="宋体"/>
                <w:spacing w:val="-2"/>
                <w:szCs w:val="21"/>
                <w:highlight w:val="none"/>
              </w:rPr>
            </w:pPr>
            <w:r>
              <w:rPr>
                <w:rFonts w:ascii="宋体" w:hAnsi="宋体" w:cs="宋体"/>
                <w:spacing w:val="-2"/>
                <w:szCs w:val="21"/>
                <w:highlight w:val="none"/>
              </w:rPr>
              <w:t>1.交</w:t>
            </w:r>
            <w:r>
              <w:rPr>
                <w:rFonts w:hint="eastAsia" w:ascii="宋体" w:hAnsi="宋体" w:cs="宋体"/>
                <w:spacing w:val="-2"/>
                <w:szCs w:val="21"/>
                <w:highlight w:val="none"/>
              </w:rPr>
              <w:t>付</w:t>
            </w:r>
            <w:r>
              <w:rPr>
                <w:rFonts w:ascii="宋体" w:hAnsi="宋体" w:cs="宋体"/>
                <w:spacing w:val="-2"/>
                <w:szCs w:val="21"/>
                <w:highlight w:val="none"/>
              </w:rPr>
              <w:t>时间：自签订合同之日起</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u w:val="single"/>
                <w:lang w:val="en-US" w:eastAsia="zh-CN"/>
              </w:rPr>
              <w:t>5</w:t>
            </w:r>
            <w:r>
              <w:rPr>
                <w:rFonts w:hint="eastAsia" w:ascii="宋体" w:hAnsi="宋体" w:cs="宋体"/>
                <w:spacing w:val="-2"/>
                <w:szCs w:val="21"/>
                <w:highlight w:val="none"/>
                <w:u w:val="single"/>
              </w:rPr>
              <w:t xml:space="preserve"> </w:t>
            </w:r>
            <w:r>
              <w:rPr>
                <w:rFonts w:hint="eastAsia" w:ascii="宋体" w:hAnsi="宋体" w:cs="宋体"/>
                <w:spacing w:val="-2"/>
                <w:szCs w:val="21"/>
                <w:highlight w:val="none"/>
              </w:rPr>
              <w:t>日内全部交付完成并验收合格。</w:t>
            </w:r>
          </w:p>
          <w:p w14:paraId="5967DC7C">
            <w:pPr>
              <w:rPr>
                <w:rFonts w:hint="eastAsia" w:ascii="宋体" w:hAnsi="宋体" w:cs="宋体"/>
                <w:szCs w:val="21"/>
                <w:highlight w:val="none"/>
              </w:rPr>
            </w:pPr>
            <w:r>
              <w:rPr>
                <w:rFonts w:ascii="宋体" w:hAnsi="宋体" w:cs="宋体"/>
                <w:szCs w:val="21"/>
                <w:highlight w:val="none"/>
              </w:rPr>
              <w:t>2.交</w:t>
            </w:r>
            <w:r>
              <w:rPr>
                <w:rFonts w:hint="eastAsia" w:ascii="宋体" w:hAnsi="宋体" w:cs="宋体"/>
                <w:szCs w:val="21"/>
                <w:highlight w:val="none"/>
              </w:rPr>
              <w:t>付</w:t>
            </w:r>
            <w:r>
              <w:rPr>
                <w:rFonts w:ascii="宋体" w:hAnsi="宋体" w:cs="宋体"/>
                <w:szCs w:val="21"/>
                <w:highlight w:val="none"/>
              </w:rPr>
              <w:t>地点：广西</w:t>
            </w:r>
            <w:r>
              <w:rPr>
                <w:rFonts w:hint="eastAsia" w:ascii="宋体" w:hAnsi="宋体" w:cs="宋体"/>
                <w:szCs w:val="21"/>
                <w:highlight w:val="none"/>
              </w:rPr>
              <w:t>中医药大学</w:t>
            </w:r>
            <w:r>
              <w:rPr>
                <w:rFonts w:ascii="宋体" w:hAnsi="宋体" w:cs="宋体"/>
                <w:szCs w:val="21"/>
                <w:highlight w:val="none"/>
              </w:rPr>
              <w:t>。</w:t>
            </w:r>
          </w:p>
        </w:tc>
      </w:tr>
      <w:tr w14:paraId="5D22DE6F">
        <w:tblPrEx>
          <w:tblCellMar>
            <w:top w:w="13" w:type="dxa"/>
            <w:left w:w="57" w:type="dxa"/>
            <w:bottom w:w="0" w:type="dxa"/>
            <w:right w:w="57" w:type="dxa"/>
          </w:tblCellMar>
        </w:tblPrEx>
        <w:trPr>
          <w:trHeight w:val="20"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B54E56">
            <w:pPr>
              <w:jc w:val="center"/>
              <w:rPr>
                <w:rFonts w:hint="eastAsia" w:ascii="宋体" w:hAnsi="宋体" w:cs="宋体"/>
                <w:b/>
                <w:bCs/>
                <w:szCs w:val="21"/>
              </w:rPr>
            </w:pPr>
            <w:r>
              <w:rPr>
                <w:rFonts w:hint="eastAsia" w:ascii="宋体" w:hAnsi="宋体" w:cs="宋体"/>
                <w:b/>
                <w:bCs/>
                <w:szCs w:val="21"/>
              </w:rPr>
              <w:t>付款条件</w:t>
            </w:r>
          </w:p>
        </w:tc>
        <w:tc>
          <w:tcPr>
            <w:tcW w:w="8667"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DBDB162">
            <w:pPr>
              <w:rPr>
                <w:rFonts w:ascii="宋体" w:hAnsi="宋体" w:cs="宋体"/>
                <w:szCs w:val="21"/>
                <w:highlight w:val="none"/>
              </w:rPr>
            </w:pPr>
            <w:r>
              <w:rPr>
                <w:rFonts w:hint="eastAsia" w:ascii="Arial" w:hAnsi="Arial" w:cs="Arial"/>
                <w:szCs w:val="21"/>
                <w:highlight w:val="none"/>
              </w:rPr>
              <w:t>1、一次性支付：本合同项下的</w:t>
            </w:r>
            <w:r>
              <w:rPr>
                <w:rFonts w:hint="eastAsia" w:ascii="Arial" w:hAnsi="Arial" w:cs="Arial"/>
                <w:szCs w:val="21"/>
                <w:highlight w:val="none"/>
                <w:lang w:eastAsia="zh-CN"/>
              </w:rPr>
              <w:t>维修服务</w:t>
            </w:r>
            <w:r>
              <w:rPr>
                <w:rFonts w:hint="eastAsia" w:ascii="Arial" w:hAnsi="Arial" w:cs="Arial"/>
                <w:szCs w:val="21"/>
                <w:highlight w:val="none"/>
              </w:rPr>
              <w:t>经最终验收合格后 15 个工作日内，采购人凭</w:t>
            </w:r>
            <w:r>
              <w:rPr>
                <w:rFonts w:hint="eastAsia" w:ascii="Arial" w:hAnsi="Arial" w:cs="Arial"/>
                <w:szCs w:val="21"/>
                <w:highlight w:val="none"/>
                <w:lang w:eastAsia="zh-CN"/>
              </w:rPr>
              <w:t>成交人</w:t>
            </w:r>
            <w:r>
              <w:rPr>
                <w:rFonts w:hint="eastAsia" w:ascii="Arial" w:hAnsi="Arial" w:cs="Arial"/>
                <w:szCs w:val="21"/>
                <w:highlight w:val="none"/>
              </w:rPr>
              <w:t>开具的全额发票向</w:t>
            </w:r>
            <w:r>
              <w:rPr>
                <w:rFonts w:hint="eastAsia" w:ascii="Arial" w:hAnsi="Arial" w:cs="Arial"/>
                <w:szCs w:val="21"/>
                <w:highlight w:val="none"/>
                <w:lang w:eastAsia="zh-CN"/>
              </w:rPr>
              <w:t>成交人</w:t>
            </w:r>
            <w:r>
              <w:rPr>
                <w:rFonts w:hint="eastAsia" w:ascii="Arial" w:hAnsi="Arial" w:cs="Arial"/>
                <w:szCs w:val="21"/>
                <w:highlight w:val="none"/>
              </w:rPr>
              <w:t>支付全部合同价款。若</w:t>
            </w:r>
            <w:r>
              <w:rPr>
                <w:rFonts w:hint="eastAsia" w:ascii="Arial" w:hAnsi="Arial" w:cs="Arial"/>
                <w:szCs w:val="21"/>
                <w:highlight w:val="none"/>
                <w:lang w:eastAsia="zh-CN"/>
              </w:rPr>
              <w:t>成交人</w:t>
            </w:r>
            <w:r>
              <w:rPr>
                <w:rFonts w:hint="eastAsia" w:ascii="Arial" w:hAnsi="Arial" w:cs="Arial"/>
                <w:szCs w:val="21"/>
                <w:highlight w:val="none"/>
              </w:rPr>
              <w:t>未按时开具发票，</w:t>
            </w:r>
            <w:r>
              <w:rPr>
                <w:rFonts w:hint="eastAsia" w:ascii="Arial" w:hAnsi="Arial" w:cs="Arial"/>
                <w:szCs w:val="21"/>
                <w:highlight w:val="none"/>
                <w:lang w:eastAsia="zh-CN"/>
              </w:rPr>
              <w:t>采购人</w:t>
            </w:r>
            <w:r>
              <w:rPr>
                <w:rFonts w:hint="eastAsia" w:ascii="Arial" w:hAnsi="Arial" w:cs="Arial"/>
                <w:szCs w:val="21"/>
                <w:highlight w:val="none"/>
              </w:rPr>
              <w:t>有权延迟付款（无息）。</w:t>
            </w:r>
            <w:r>
              <w:rPr>
                <w:rFonts w:hint="eastAsia" w:ascii="Arial" w:hAnsi="Arial" w:cs="Arial"/>
                <w:szCs w:val="21"/>
                <w:highlight w:val="none"/>
                <w:lang w:eastAsia="zh-CN"/>
              </w:rPr>
              <w:t>采购人</w:t>
            </w:r>
            <w:r>
              <w:rPr>
                <w:rFonts w:hint="eastAsia" w:ascii="Arial" w:hAnsi="Arial" w:cs="Arial"/>
                <w:szCs w:val="21"/>
                <w:highlight w:val="none"/>
              </w:rPr>
              <w:t>按约将货款付至合同约定的银行账户</w:t>
            </w:r>
            <w:r>
              <w:rPr>
                <w:rFonts w:ascii="Arial" w:hAnsi="Arial" w:cs="Arial"/>
                <w:szCs w:val="21"/>
                <w:highlight w:val="none"/>
              </w:rPr>
              <w:t>(</w:t>
            </w:r>
            <w:r>
              <w:rPr>
                <w:rFonts w:hint="eastAsia" w:ascii="Arial" w:hAnsi="Arial" w:cs="Arial"/>
                <w:szCs w:val="21"/>
                <w:highlight w:val="none"/>
              </w:rPr>
              <w:t>该账户的真实性及合法性由</w:t>
            </w:r>
            <w:r>
              <w:rPr>
                <w:rFonts w:hint="eastAsia" w:ascii="Arial" w:hAnsi="Arial" w:cs="Arial"/>
                <w:szCs w:val="21"/>
                <w:highlight w:val="none"/>
                <w:lang w:eastAsia="zh-CN"/>
              </w:rPr>
              <w:t>成交人</w:t>
            </w:r>
            <w:r>
              <w:rPr>
                <w:rFonts w:hint="eastAsia" w:ascii="Arial" w:hAnsi="Arial" w:cs="Arial"/>
                <w:szCs w:val="21"/>
                <w:highlight w:val="none"/>
              </w:rPr>
              <w:t>负责</w:t>
            </w:r>
            <w:r>
              <w:rPr>
                <w:rFonts w:ascii="Arial" w:hAnsi="Arial" w:cs="Arial"/>
                <w:szCs w:val="21"/>
                <w:highlight w:val="none"/>
              </w:rPr>
              <w:t>)</w:t>
            </w:r>
            <w:r>
              <w:rPr>
                <w:rFonts w:hint="eastAsia" w:ascii="Arial" w:hAnsi="Arial" w:cs="Arial"/>
                <w:szCs w:val="21"/>
                <w:highlight w:val="none"/>
              </w:rPr>
              <w:t>；如因</w:t>
            </w:r>
            <w:r>
              <w:rPr>
                <w:rFonts w:hint="eastAsia" w:ascii="Arial" w:hAnsi="Arial" w:cs="Arial"/>
                <w:szCs w:val="21"/>
                <w:highlight w:val="none"/>
                <w:lang w:eastAsia="zh-CN"/>
              </w:rPr>
              <w:t>成交人</w:t>
            </w:r>
            <w:r>
              <w:rPr>
                <w:rFonts w:hint="eastAsia" w:ascii="Arial" w:hAnsi="Arial" w:cs="Arial"/>
                <w:szCs w:val="21"/>
                <w:highlight w:val="none"/>
              </w:rPr>
              <w:t>提供的账户信息错误导致无法付款、迟延付款等情形的不视为</w:t>
            </w:r>
            <w:r>
              <w:rPr>
                <w:rFonts w:hint="eastAsia" w:ascii="Arial" w:hAnsi="Arial" w:cs="Arial"/>
                <w:szCs w:val="21"/>
                <w:highlight w:val="none"/>
                <w:lang w:eastAsia="zh-CN"/>
              </w:rPr>
              <w:t>采购人</w:t>
            </w:r>
            <w:r>
              <w:rPr>
                <w:rFonts w:hint="eastAsia" w:ascii="Arial" w:hAnsi="Arial" w:cs="Arial"/>
                <w:szCs w:val="21"/>
                <w:highlight w:val="none"/>
              </w:rPr>
              <w:t>违约；</w:t>
            </w:r>
            <w:r>
              <w:rPr>
                <w:rFonts w:hint="eastAsia" w:ascii="Arial" w:hAnsi="Arial" w:cs="Arial"/>
                <w:szCs w:val="21"/>
                <w:highlight w:val="none"/>
                <w:lang w:eastAsia="zh-CN"/>
              </w:rPr>
              <w:t>成交人</w:t>
            </w:r>
            <w:r>
              <w:rPr>
                <w:rFonts w:hint="eastAsia" w:ascii="Arial" w:hAnsi="Arial" w:cs="Arial"/>
                <w:szCs w:val="21"/>
                <w:highlight w:val="none"/>
              </w:rPr>
              <w:t>变更收款银行账户的，应在变更之前书面通知</w:t>
            </w:r>
            <w:r>
              <w:rPr>
                <w:rFonts w:hint="eastAsia" w:ascii="Arial" w:hAnsi="Arial" w:cs="Arial"/>
                <w:szCs w:val="21"/>
                <w:highlight w:val="none"/>
                <w:lang w:eastAsia="zh-CN"/>
              </w:rPr>
              <w:t>采购人</w:t>
            </w:r>
            <w:r>
              <w:rPr>
                <w:rFonts w:hint="eastAsia" w:ascii="Arial" w:hAnsi="Arial" w:cs="Arial"/>
                <w:szCs w:val="21"/>
                <w:highlight w:val="none"/>
              </w:rPr>
              <w:t>，否则应承担</w:t>
            </w:r>
            <w:r>
              <w:rPr>
                <w:rFonts w:hint="eastAsia" w:ascii="Arial" w:hAnsi="Arial" w:cs="Arial"/>
                <w:szCs w:val="21"/>
                <w:highlight w:val="none"/>
                <w:lang w:eastAsia="zh-CN"/>
              </w:rPr>
              <w:t>采购人</w:t>
            </w:r>
            <w:r>
              <w:rPr>
                <w:rFonts w:hint="eastAsia" w:ascii="Arial" w:hAnsi="Arial" w:cs="Arial"/>
                <w:szCs w:val="21"/>
                <w:highlight w:val="none"/>
              </w:rPr>
              <w:t>无法付款、迟延付款或付款错误等全部责任。</w:t>
            </w:r>
          </w:p>
          <w:p w14:paraId="2E543793">
            <w:pPr>
              <w:rPr>
                <w:rFonts w:hint="eastAsia" w:ascii="宋体" w:hAnsi="宋体" w:cs="宋体"/>
                <w:szCs w:val="21"/>
                <w:highlight w:val="none"/>
                <w:lang w:eastAsia="en-US"/>
              </w:rPr>
            </w:pPr>
            <w:r>
              <w:rPr>
                <w:rFonts w:hint="eastAsia" w:ascii="宋体" w:hAnsi="宋体" w:cs="宋体"/>
                <w:szCs w:val="21"/>
                <w:highlight w:val="none"/>
                <w:lang w:eastAsia="en-US"/>
              </w:rPr>
              <w:t>2.本项目收取履约保证金：</w:t>
            </w:r>
            <w:r>
              <w:rPr>
                <w:rFonts w:hint="eastAsia" w:ascii="宋体" w:hAnsi="宋体" w:cs="宋体"/>
                <w:szCs w:val="21"/>
                <w:highlight w:val="none"/>
              </w:rPr>
              <w:t>☑</w:t>
            </w:r>
            <w:r>
              <w:rPr>
                <w:rFonts w:hint="eastAsia" w:ascii="宋体" w:hAnsi="宋体" w:cs="宋体"/>
                <w:szCs w:val="21"/>
                <w:highlight w:val="none"/>
                <w:lang w:eastAsia="en-US"/>
              </w:rPr>
              <w:t>无    □有，人民币</w:t>
            </w:r>
            <w:r>
              <w:rPr>
                <w:rFonts w:hint="eastAsia" w:ascii="宋体" w:hAnsi="宋体" w:cs="宋体"/>
                <w:szCs w:val="21"/>
                <w:highlight w:val="none"/>
                <w:u w:val="single"/>
                <w:lang w:eastAsia="en-US"/>
              </w:rPr>
              <w:t xml:space="preserve">        </w:t>
            </w:r>
            <w:r>
              <w:rPr>
                <w:rFonts w:hint="eastAsia" w:ascii="宋体" w:hAnsi="宋体" w:cs="宋体"/>
                <w:szCs w:val="21"/>
                <w:highlight w:val="none"/>
                <w:lang w:eastAsia="en-US"/>
              </w:rPr>
              <w:t>元。</w:t>
            </w:r>
          </w:p>
          <w:p w14:paraId="4DF82F24">
            <w:pPr>
              <w:jc w:val="left"/>
              <w:rPr>
                <w:rFonts w:hint="eastAsia" w:ascii="宋体" w:hAnsi="宋体" w:cs="宋体"/>
                <w:szCs w:val="21"/>
                <w:highlight w:val="none"/>
              </w:rPr>
            </w:pPr>
            <w:r>
              <w:rPr>
                <w:rFonts w:hint="eastAsia" w:ascii="宋体" w:hAnsi="宋体" w:cs="宋体"/>
                <w:bCs/>
                <w:szCs w:val="21"/>
                <w:highlight w:val="none"/>
              </w:rPr>
              <w:t>3</w:t>
            </w:r>
            <w:r>
              <w:rPr>
                <w:rFonts w:ascii="宋体" w:hAnsi="宋体" w:cs="宋体"/>
                <w:bCs/>
                <w:szCs w:val="21"/>
                <w:highlight w:val="none"/>
              </w:rPr>
              <w:t>.</w:t>
            </w:r>
            <w:r>
              <w:rPr>
                <w:rFonts w:hint="eastAsia" w:ascii="宋体" w:hAnsi="宋体" w:cs="宋体"/>
                <w:bCs/>
                <w:szCs w:val="21"/>
                <w:highlight w:val="none"/>
              </w:rPr>
              <w:t>项目收取履约保证金的，成交人须在合同签订前向采购人账户转付成交金额</w:t>
            </w:r>
            <w:r>
              <w:rPr>
                <w:rFonts w:ascii="宋体" w:hAnsi="宋体" w:cs="宋体"/>
                <w:bCs/>
                <w:szCs w:val="21"/>
                <w:highlight w:val="none"/>
              </w:rPr>
              <w:t>2%的履约保证金，否则不予签订合同</w:t>
            </w:r>
            <w:r>
              <w:rPr>
                <w:rFonts w:hint="eastAsia" w:ascii="宋体" w:hAnsi="宋体" w:cs="宋体"/>
                <w:bCs/>
                <w:szCs w:val="21"/>
                <w:highlight w:val="none"/>
              </w:rPr>
              <w:t>。</w:t>
            </w:r>
            <w:r>
              <w:rPr>
                <w:rFonts w:ascii="宋体" w:hAnsi="宋体" w:cs="宋体"/>
                <w:bCs/>
                <w:szCs w:val="21"/>
                <w:highlight w:val="none"/>
              </w:rPr>
              <w:t>履约保证金在</w:t>
            </w:r>
            <w:r>
              <w:rPr>
                <w:rFonts w:hint="eastAsia" w:ascii="宋体" w:hAnsi="宋体" w:cs="宋体"/>
                <w:bCs/>
                <w:szCs w:val="21"/>
                <w:highlight w:val="none"/>
              </w:rPr>
              <w:t>采购内容全部交付</w:t>
            </w:r>
            <w:r>
              <w:rPr>
                <w:rFonts w:ascii="宋体" w:hAnsi="宋体" w:cs="宋体"/>
                <w:bCs/>
                <w:szCs w:val="21"/>
                <w:highlight w:val="none"/>
              </w:rPr>
              <w:t>验收</w:t>
            </w:r>
            <w:r>
              <w:rPr>
                <w:rFonts w:hint="eastAsia" w:ascii="宋体" w:hAnsi="宋体" w:cs="宋体"/>
                <w:bCs/>
                <w:szCs w:val="21"/>
                <w:highlight w:val="none"/>
              </w:rPr>
              <w:t>完成</w:t>
            </w:r>
            <w:r>
              <w:rPr>
                <w:rFonts w:ascii="宋体" w:hAnsi="宋体" w:cs="宋体"/>
                <w:bCs/>
                <w:szCs w:val="21"/>
                <w:highlight w:val="none"/>
              </w:rPr>
              <w:t>之后</w:t>
            </w:r>
            <w:r>
              <w:rPr>
                <w:rFonts w:hint="eastAsia" w:ascii="宋体" w:hAnsi="宋体" w:cs="宋体"/>
                <w:bCs/>
                <w:szCs w:val="21"/>
                <w:highlight w:val="none"/>
              </w:rPr>
              <w:t>（或服务期满后）</w:t>
            </w:r>
            <w:r>
              <w:rPr>
                <w:rFonts w:ascii="宋体" w:hAnsi="宋体" w:cs="宋体"/>
                <w:bCs/>
                <w:szCs w:val="21"/>
                <w:highlight w:val="none"/>
              </w:rPr>
              <w:t>无息退付。</w:t>
            </w:r>
          </w:p>
        </w:tc>
      </w:tr>
      <w:tr w14:paraId="4D2ACEFC">
        <w:tblPrEx>
          <w:tblCellMar>
            <w:top w:w="13" w:type="dxa"/>
            <w:left w:w="57" w:type="dxa"/>
            <w:bottom w:w="0" w:type="dxa"/>
            <w:right w:w="57" w:type="dxa"/>
          </w:tblCellMar>
        </w:tblPrEx>
        <w:trPr>
          <w:trHeight w:val="20"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CD257E">
            <w:pPr>
              <w:jc w:val="center"/>
              <w:rPr>
                <w:rFonts w:hint="eastAsia" w:ascii="宋体" w:hAnsi="宋体" w:cs="宋体"/>
                <w:b/>
                <w:bCs/>
                <w:szCs w:val="21"/>
              </w:rPr>
            </w:pPr>
            <w:r>
              <w:rPr>
                <w:rFonts w:hint="eastAsia" w:ascii="宋体" w:hAnsi="宋体" w:cs="宋体"/>
                <w:b/>
                <w:bCs/>
                <w:szCs w:val="21"/>
              </w:rPr>
              <w:t>报价要求</w:t>
            </w:r>
          </w:p>
        </w:tc>
        <w:tc>
          <w:tcPr>
            <w:tcW w:w="8667"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4A66BB2">
            <w:pPr>
              <w:numPr>
                <w:ilvl w:val="0"/>
                <w:numId w:val="3"/>
              </w:numPr>
              <w:rPr>
                <w:rFonts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14:paraId="2C6CED24">
            <w:pPr>
              <w:numPr>
                <w:ilvl w:val="0"/>
                <w:numId w:val="3"/>
              </w:numPr>
              <w:rPr>
                <w:rFonts w:ascii="宋体" w:hAnsi="宋体" w:cs="宋体"/>
                <w:b/>
                <w:szCs w:val="21"/>
              </w:rPr>
            </w:pPr>
            <w:r>
              <w:rPr>
                <w:rFonts w:hint="eastAsia" w:ascii="宋体" w:hAnsi="宋体" w:cs="宋体"/>
                <w:b/>
                <w:bCs/>
                <w:szCs w:val="21"/>
              </w:rPr>
              <w:t>报价一经涂改，应在涂改处加盖单位公章，否则其投标作无效标处理。</w:t>
            </w:r>
          </w:p>
          <w:p w14:paraId="74CAAB7E">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w:t>
            </w:r>
            <w:r>
              <w:rPr>
                <w:rFonts w:hint="eastAsia" w:ascii="宋体" w:hAnsi="宋体" w:cs="仿宋"/>
                <w:b/>
                <w:color w:val="000000"/>
                <w:szCs w:val="21"/>
                <w:lang w:eastAsia="zh-CN"/>
              </w:rPr>
              <w:t>配件</w:t>
            </w:r>
            <w:r>
              <w:rPr>
                <w:rFonts w:hint="eastAsia" w:ascii="宋体" w:hAnsi="宋体" w:cs="仿宋"/>
                <w:b/>
                <w:color w:val="000000"/>
                <w:szCs w:val="21"/>
              </w:rPr>
              <w:t>费、人工费、服务费、运输费、安装调试费、税费、质保期内维护费</w:t>
            </w:r>
            <w:r>
              <w:rPr>
                <w:rFonts w:hint="eastAsia" w:ascii="宋体" w:hAnsi="宋体" w:cs="仿宋"/>
                <w:b/>
                <w:color w:val="000000"/>
                <w:szCs w:val="21"/>
                <w:lang w:eastAsia="zh-CN"/>
              </w:rPr>
              <w:t>。</w:t>
            </w:r>
          </w:p>
        </w:tc>
      </w:tr>
      <w:tr w14:paraId="12F8A2B6">
        <w:tblPrEx>
          <w:tblCellMar>
            <w:top w:w="13" w:type="dxa"/>
            <w:left w:w="57" w:type="dxa"/>
            <w:bottom w:w="0" w:type="dxa"/>
            <w:right w:w="57" w:type="dxa"/>
          </w:tblCellMar>
        </w:tblPrEx>
        <w:trPr>
          <w:trHeight w:val="20" w:hRule="atLeast"/>
          <w:jc w:val="center"/>
        </w:trPr>
        <w:tc>
          <w:tcPr>
            <w:tcW w:w="10205"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49B0E1">
            <w:pPr>
              <w:rPr>
                <w:rFonts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14:paraId="3ADEAE88">
        <w:tblPrEx>
          <w:tblCellMar>
            <w:top w:w="13" w:type="dxa"/>
            <w:left w:w="57" w:type="dxa"/>
            <w:bottom w:w="0" w:type="dxa"/>
            <w:right w:w="57" w:type="dxa"/>
          </w:tblCellMar>
        </w:tblPrEx>
        <w:trPr>
          <w:trHeight w:val="2020" w:hRule="atLeast"/>
          <w:jc w:val="center"/>
        </w:trPr>
        <w:tc>
          <w:tcPr>
            <w:tcW w:w="1538"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32CEC4">
            <w:pPr>
              <w:rPr>
                <w:rFonts w:ascii="宋体" w:hAnsi="宋体" w:cs="宋体"/>
                <w:b/>
                <w:bCs/>
                <w:szCs w:val="21"/>
              </w:rPr>
            </w:pPr>
            <w:r>
              <w:rPr>
                <w:rFonts w:hint="eastAsia" w:ascii="宋体" w:hAnsi="宋体" w:cs="宋体"/>
                <w:b/>
                <w:bCs/>
                <w:szCs w:val="21"/>
              </w:rPr>
              <w:t>其它要求</w:t>
            </w:r>
          </w:p>
        </w:tc>
        <w:tc>
          <w:tcPr>
            <w:tcW w:w="8667"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ACBB59">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14:paraId="4788D964">
            <w:pP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本项目采购任务急，现特向潜在供应商作出相关提醒：供应商存在不按要求报价、不按要求提供审查资料、或资料审查不合格、成交后无故放弃、不按合同履行等违约行为的，采购人有权按预算金额20%的赔偿金额向</w:t>
            </w:r>
            <w:r>
              <w:rPr>
                <w:rFonts w:hint="eastAsia" w:ascii="宋体" w:hAnsi="宋体" w:cs="宋体"/>
                <w:szCs w:val="21"/>
                <w:lang w:eastAsia="zh-CN"/>
              </w:rPr>
              <w:t>成交人</w:t>
            </w:r>
            <w:r>
              <w:rPr>
                <w:rFonts w:hint="eastAsia" w:ascii="宋体" w:hAnsi="宋体" w:cs="宋体"/>
                <w:szCs w:val="21"/>
              </w:rPr>
              <w:t>追偿其所造成的损失。</w:t>
            </w:r>
          </w:p>
        </w:tc>
      </w:tr>
    </w:tbl>
    <w:p w14:paraId="30806F4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294457F"/>
    <w:rsid w:val="04F3674C"/>
    <w:rsid w:val="0DAD4E1B"/>
    <w:rsid w:val="161D68B6"/>
    <w:rsid w:val="17942BA8"/>
    <w:rsid w:val="17AB7544"/>
    <w:rsid w:val="22080FBA"/>
    <w:rsid w:val="22AA36B1"/>
    <w:rsid w:val="30903E00"/>
    <w:rsid w:val="3AB078AC"/>
    <w:rsid w:val="405C51AD"/>
    <w:rsid w:val="40A765C8"/>
    <w:rsid w:val="50CB09B3"/>
    <w:rsid w:val="58784FBE"/>
    <w:rsid w:val="5C055738"/>
    <w:rsid w:val="63416D0D"/>
    <w:rsid w:val="711E06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link w:val="1"/>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
    <w:basedOn w:val="1"/>
    <w:qFormat/>
    <w:uiPriority w:val="0"/>
    <w:pPr>
      <w:ind w:firstLine="420" w:firstLineChars="200"/>
    </w:pPr>
    <w:rPr>
      <w:rFonts w:ascii="Times New Roman" w:hAnsi="Times New Roman" w:eastAsia="宋体" w:cs="Times New Roman"/>
      <w:szCs w:val="21"/>
    </w:rPr>
  </w:style>
  <w:style w:type="character" w:customStyle="1" w:styleId="10">
    <w:name w:val="font31"/>
    <w:link w:val="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link w:val="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1969</Words>
  <Characters>2059</Characters>
  <TotalTime>15</TotalTime>
  <ScaleCrop>false</ScaleCrop>
  <LinksUpToDate>false</LinksUpToDate>
  <CharactersWithSpaces>2078</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Silver</cp:lastModifiedBy>
  <cp:lastPrinted>2025-09-09T02:39:00Z</cp:lastPrinted>
  <dcterms:modified xsi:type="dcterms:W3CDTF">2025-09-30T08:37:05Z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eyJoZGlkIjoiM2E5MzA3Zjc3YTQ5YzI4MGZkM2Y3ZGY3MTU4YTQ2ZjAiLCJ1c2VySWQiOiIyNDE1NTg5MDMifQ==</vt:lpwstr>
  </property>
  <property fmtid="{D5CDD505-2E9C-101B-9397-08002B2CF9AE}" pid="3" name="KSOProductBuildVer">
    <vt:lpwstr>2052-12.1.0.22529</vt:lpwstr>
  </property>
  <property fmtid="{D5CDD505-2E9C-101B-9397-08002B2CF9AE}" pid="4" name="ICV">
    <vt:lpwstr>B7B821F98E2D49D09528D83A81DF111D_12</vt:lpwstr>
  </property>
</Properties>
</file>