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8B08E">
      <w:pPr>
        <w:keepNext w:val="0"/>
        <w:keepLines w:val="0"/>
        <w:pageBreakBefore w:val="0"/>
        <w:wordWrap/>
        <w:topLinePunct w:val="0"/>
        <w:bidi w:val="0"/>
        <w:spacing w:line="440" w:lineRule="exact"/>
        <w:ind w:firstLine="2530" w:firstLineChars="1050"/>
        <w:rPr>
          <w:rFonts w:ascii="方正小标宋简体" w:hAnsi="宋体" w:eastAsia="方正小标宋简体" w:cs="Times New Roman"/>
          <w:b/>
          <w:sz w:val="24"/>
          <w:szCs w:val="24"/>
        </w:rPr>
      </w:pPr>
      <w:r>
        <w:rPr>
          <w:rFonts w:hint="eastAsia" w:ascii="方正小标宋简体" w:hAnsi="宋体" w:eastAsia="方正小标宋简体" w:cs="Times New Roman"/>
          <w:b/>
          <w:sz w:val="24"/>
          <w:szCs w:val="24"/>
        </w:rPr>
        <w:t>采购需求及响应报价表</w:t>
      </w:r>
    </w:p>
    <w:p w14:paraId="60A125B6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ascii="宋体" w:hAnsi="宋体" w:eastAsia="宋体" w:cs="Times New Roman"/>
          <w:b/>
          <w:sz w:val="24"/>
          <w:szCs w:val="24"/>
        </w:rPr>
      </w:pPr>
    </w:p>
    <w:p w14:paraId="12B6CD4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项目名称：广西中医药大学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百年乐制药有限公司科研中试药材竞争性谈判采购</w:t>
      </w:r>
    </w:p>
    <w:p w14:paraId="4CBEDBA9">
      <w:pPr>
        <w:keepNext w:val="0"/>
        <w:keepLines w:val="0"/>
        <w:pageBreakBefore w:val="0"/>
        <w:wordWrap/>
        <w:topLinePunct w:val="0"/>
        <w:bidi w:val="0"/>
        <w:spacing w:line="440" w:lineRule="exact"/>
        <w:ind w:right="380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ascii="宋体" w:hAnsi="宋体" w:eastAsia="宋体" w:cs="Times New Roman"/>
          <w:b/>
          <w:bCs/>
          <w:sz w:val="24"/>
          <w:szCs w:val="24"/>
        </w:rPr>
        <w:t>项目编号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 xml:space="preserve">: 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BNL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-2026-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JZT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-0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16</w:t>
      </w:r>
    </w:p>
    <w:p w14:paraId="2A340B9D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ascii="宋体" w:hAnsi="宋体" w:eastAsia="宋体" w:cs="Times New Roman"/>
          <w:b/>
          <w:color w:val="000000"/>
          <w:szCs w:val="21"/>
        </w:rPr>
      </w:pPr>
      <w:r>
        <w:rPr>
          <w:rFonts w:hint="eastAsia" w:ascii="宋体" w:hAnsi="宋体" w:eastAsia="宋体" w:cs="Times New Roman"/>
          <w:b/>
          <w:color w:val="000000"/>
          <w:szCs w:val="21"/>
        </w:rPr>
        <w:t>说明：</w:t>
      </w:r>
      <w:r>
        <w:rPr>
          <w:rFonts w:ascii="宋体" w:hAnsi="宋体" w:eastAsia="宋体" w:cs="Times New Roman"/>
          <w:b/>
          <w:bCs/>
          <w:szCs w:val="24"/>
        </w:rPr>
        <w:t>1.</w:t>
      </w:r>
      <w:r>
        <w:rPr>
          <w:rFonts w:hint="eastAsia" w:ascii="宋体" w:hAnsi="宋体" w:eastAsia="宋体" w:cs="Times New Roman"/>
          <w:b/>
          <w:szCs w:val="24"/>
        </w:rPr>
        <w:t>本需求</w:t>
      </w:r>
      <w:r>
        <w:rPr>
          <w:rFonts w:ascii="宋体" w:hAnsi="宋体" w:eastAsia="宋体" w:cs="Times New Roman"/>
          <w:b/>
          <w:bCs/>
          <w:szCs w:val="24"/>
        </w:rPr>
        <w:t>中</w:t>
      </w:r>
      <w:r>
        <w:rPr>
          <w:rFonts w:hint="eastAsia" w:ascii="宋体" w:hAnsi="宋体" w:eastAsia="宋体" w:cs="Times New Roman"/>
          <w:b/>
          <w:bCs/>
          <w:szCs w:val="24"/>
        </w:rPr>
        <w:t>的相关参数有</w:t>
      </w:r>
      <w:r>
        <w:rPr>
          <w:rFonts w:ascii="宋体" w:hAnsi="宋体" w:eastAsia="宋体" w:cs="Times New Roman"/>
          <w:b/>
          <w:bCs/>
          <w:szCs w:val="24"/>
        </w:rPr>
        <w:t>不明确或有误的，</w:t>
      </w:r>
      <w:r>
        <w:rPr>
          <w:rFonts w:hint="eastAsia" w:ascii="宋体" w:hAnsi="宋体" w:eastAsia="宋体" w:cs="Times New Roman"/>
          <w:b/>
          <w:bCs/>
          <w:szCs w:val="24"/>
        </w:rPr>
        <w:t>报价人</w:t>
      </w:r>
      <w:r>
        <w:rPr>
          <w:rFonts w:ascii="宋体" w:hAnsi="宋体" w:eastAsia="宋体" w:cs="Times New Roman"/>
          <w:b/>
          <w:bCs/>
          <w:szCs w:val="24"/>
        </w:rPr>
        <w:t>请以详细、正确的参数</w:t>
      </w:r>
      <w:r>
        <w:rPr>
          <w:rFonts w:hint="eastAsia" w:ascii="宋体" w:hAnsi="宋体" w:eastAsia="宋体" w:cs="Times New Roman"/>
          <w:b/>
          <w:bCs/>
          <w:szCs w:val="24"/>
        </w:rPr>
        <w:t>另做附件</w:t>
      </w:r>
      <w:r>
        <w:rPr>
          <w:rFonts w:ascii="宋体" w:hAnsi="宋体" w:eastAsia="宋体" w:cs="Times New Roman"/>
          <w:b/>
          <w:bCs/>
          <w:szCs w:val="24"/>
        </w:rPr>
        <w:t>。</w:t>
      </w:r>
    </w:p>
    <w:p w14:paraId="1D7DF70F">
      <w:pPr>
        <w:keepNext w:val="0"/>
        <w:keepLines w:val="0"/>
        <w:pageBreakBefore w:val="0"/>
        <w:wordWrap/>
        <w:topLinePunct w:val="0"/>
        <w:bidi w:val="0"/>
        <w:spacing w:line="440" w:lineRule="exact"/>
        <w:ind w:left="-10" w:leftChars="-5" w:right="2" w:rightChars="1" w:firstLine="422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/>
          <w:bCs/>
          <w:szCs w:val="24"/>
        </w:rPr>
        <w:t xml:space="preserve">  </w:t>
      </w:r>
      <w:r>
        <w:rPr>
          <w:rFonts w:ascii="宋体" w:hAnsi="宋体" w:eastAsia="宋体" w:cs="Times New Roman"/>
          <w:b/>
          <w:bCs/>
          <w:szCs w:val="24"/>
        </w:rPr>
        <w:t>2</w:t>
      </w:r>
      <w:r>
        <w:rPr>
          <w:rFonts w:hint="eastAsia" w:ascii="宋体" w:hAnsi="宋体" w:eastAsia="宋体" w:cs="Times New Roman"/>
          <w:b/>
          <w:bCs/>
          <w:szCs w:val="24"/>
        </w:rPr>
        <w:t>．报价人必须自行为其报价产品或服务侵犯</w:t>
      </w:r>
      <w:r>
        <w:rPr>
          <w:rFonts w:hint="eastAsia" w:ascii="宋体" w:hAnsi="宋体" w:eastAsia="宋体" w:cs="Times New Roman"/>
          <w:b/>
          <w:bCs/>
          <w:strike w:val="0"/>
          <w:dstrike w:val="0"/>
          <w:color w:val="auto"/>
          <w:szCs w:val="24"/>
          <w:u w:val="none"/>
          <w:shd w:val="clear" w:fill="auto"/>
        </w:rPr>
        <w:t>其</w:t>
      </w:r>
      <w:r>
        <w:rPr>
          <w:rFonts w:hint="eastAsia" w:ascii="宋体" w:hAnsi="宋体" w:eastAsia="宋体" w:cs="Times New Roman"/>
          <w:b/>
          <w:bCs/>
          <w:szCs w:val="24"/>
        </w:rPr>
        <w:t>他</w:t>
      </w:r>
      <w:r>
        <w:rPr>
          <w:rFonts w:hint="eastAsia" w:ascii="宋体" w:hAnsi="宋体" w:eastAsia="宋体" w:cs="Times New Roman"/>
          <w:b/>
          <w:bCs/>
          <w:strike w:val="0"/>
          <w:dstrike w:val="0"/>
          <w:color w:val="auto"/>
          <w:szCs w:val="24"/>
          <w:u w:val="none"/>
          <w:shd w:val="clear" w:fill="auto"/>
        </w:rPr>
        <w:t>供应商</w:t>
      </w:r>
      <w:r>
        <w:rPr>
          <w:rFonts w:hint="eastAsia" w:ascii="宋体" w:hAnsi="宋体" w:eastAsia="宋体" w:cs="Times New Roman"/>
          <w:b/>
          <w:bCs/>
          <w:szCs w:val="24"/>
        </w:rPr>
        <w:t>担相应法律责任</w:t>
      </w:r>
      <w:r>
        <w:rPr>
          <w:rFonts w:hint="eastAsia" w:ascii="宋体" w:hAnsi="宋体" w:eastAsia="宋体" w:cs="Times New Roman"/>
          <w:b/>
          <w:bCs/>
          <w:szCs w:val="21"/>
        </w:rPr>
        <w:t>。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762"/>
        <w:gridCol w:w="636"/>
        <w:gridCol w:w="6698"/>
      </w:tblGrid>
      <w:tr w14:paraId="00F73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AEE5E">
            <w:pPr>
              <w:spacing w:line="360" w:lineRule="auto"/>
              <w:rPr>
                <w:rFonts w:hint="eastAsia" w:ascii="宋体" w:hAnsi="宋体" w:eastAsia="宋体" w:cs="宋体"/>
                <w:b/>
                <w:szCs w:val="21"/>
              </w:rPr>
            </w:pPr>
            <w:bookmarkStart w:id="0" w:name="_Hlk149666117"/>
            <w:r>
              <w:rPr>
                <w:rFonts w:hint="eastAsia" w:ascii="宋体" w:hAnsi="宋体" w:eastAsia="宋体" w:cs="宋体"/>
                <w:b/>
                <w:szCs w:val="21"/>
              </w:rPr>
              <w:t>一、项目要求及技术需求</w:t>
            </w:r>
          </w:p>
        </w:tc>
      </w:tr>
      <w:tr w14:paraId="47CFA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1A3CC4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项号</w:t>
            </w: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99F54F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标的名称</w:t>
            </w:r>
          </w:p>
        </w:tc>
        <w:tc>
          <w:tcPr>
            <w:tcW w:w="28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64AF55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数量</w:t>
            </w:r>
          </w:p>
        </w:tc>
        <w:tc>
          <w:tcPr>
            <w:tcW w:w="3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7009E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内容和要求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▲</w:t>
            </w:r>
          </w:p>
        </w:tc>
      </w:tr>
      <w:tr w14:paraId="0B832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4B4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3A75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科研中试药材采购</w:t>
            </w:r>
          </w:p>
        </w:tc>
        <w:tc>
          <w:tcPr>
            <w:tcW w:w="28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D5BF15"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4240公斤</w:t>
            </w:r>
          </w:p>
        </w:tc>
        <w:tc>
          <w:tcPr>
            <w:tcW w:w="3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04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一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基本情况</w:t>
            </w:r>
          </w:p>
          <w:p w14:paraId="52D2D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1.根据采购人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生产需要</w:t>
            </w:r>
            <w:r>
              <w:rPr>
                <w:rFonts w:hint="eastAsia" w:ascii="宋体" w:hAnsi="宋体" w:eastAsia="宋体" w:cs="宋体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竞争性谈判采购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科研中试药材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4240公斤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。</w:t>
            </w:r>
          </w:p>
          <w:p w14:paraId="12977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2.根据采购人指定时间送货至指定仓库内。</w:t>
            </w:r>
          </w:p>
          <w:p w14:paraId="7CF4A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货到检验合格并提供合格增值税专用发票后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3个月内付清货款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  <w:p w14:paraId="50930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▲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服务内容及技术要求</w:t>
            </w:r>
          </w:p>
          <w:p w14:paraId="01AC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在签订合同后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20天内完成送货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，并提供药材随货同行单。</w:t>
            </w:r>
          </w:p>
          <w:p w14:paraId="044DD3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交货地点：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广西南宁市邕宁区五象大道东段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51号</w:t>
            </w:r>
            <w:r>
              <w:rPr>
                <w:rFonts w:hint="eastAsia"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广西中医药大学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百年乐制药有限公司仓库。</w:t>
            </w:r>
          </w:p>
          <w:p w14:paraId="663AF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卸货安全操作：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</w:rPr>
              <w:t>在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卸货入库</w:t>
            </w:r>
            <w:r>
              <w:rPr>
                <w:rFonts w:hint="eastAsia" w:ascii="宋体" w:hAnsi="宋体" w:eastAsia="宋体" w:cs="宋体"/>
              </w:rPr>
              <w:t>过程中，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现场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操作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人员</w:t>
            </w:r>
            <w:r>
              <w:rPr>
                <w:rFonts w:hint="eastAsia" w:ascii="宋体" w:hAnsi="宋体" w:eastAsia="宋体" w:cs="宋体"/>
              </w:rPr>
              <w:t>应符合国家有关</w:t>
            </w:r>
            <w:r>
              <w:rPr>
                <w:rFonts w:hint="eastAsia" w:ascii="宋体" w:hAnsi="宋体" w:eastAsia="宋体" w:cs="宋体"/>
                <w:lang w:eastAsia="zh-CN"/>
              </w:rPr>
              <w:t>生产安全</w:t>
            </w:r>
            <w:r>
              <w:rPr>
                <w:rFonts w:hint="eastAsia" w:ascii="宋体" w:hAnsi="宋体" w:eastAsia="宋体" w:cs="宋体"/>
              </w:rPr>
              <w:t>规定的技术规范和</w:t>
            </w:r>
            <w:r>
              <w:rPr>
                <w:rFonts w:hint="eastAsia" w:ascii="宋体" w:hAnsi="宋体" w:eastAsia="宋体" w:cs="宋体"/>
                <w:lang w:eastAsia="zh-CN"/>
              </w:rPr>
              <w:t>要求</w:t>
            </w:r>
            <w:r>
              <w:rPr>
                <w:rFonts w:hint="eastAsia" w:ascii="宋体" w:hAnsi="宋体" w:eastAsia="宋体" w:cs="宋体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</w:rPr>
              <w:t>并接受采购人现场对接人员的安全交底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与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安全</w:t>
            </w:r>
            <w:r>
              <w:rPr>
                <w:rFonts w:hint="eastAsia" w:ascii="宋体" w:hAnsi="宋体" w:eastAsia="宋体" w:cs="宋体"/>
                <w:lang w:eastAsia="zh-CN"/>
              </w:rPr>
              <w:t>管理，严防安全事故发生。</w:t>
            </w:r>
          </w:p>
          <w:p w14:paraId="1D563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lang w:eastAsia="zh-CN"/>
              </w:rPr>
              <w:t>安全责任：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货物在交付给采购人之前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因实施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运输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卸货入库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过程</w:t>
            </w:r>
            <w:r>
              <w:rPr>
                <w:rFonts w:hint="eastAsia" w:ascii="宋体" w:hAnsi="宋体" w:eastAsia="宋体" w:cs="宋体"/>
              </w:rPr>
              <w:t>所致的全部安全、交通和环境危害责任均由成交供应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商承担。</w:t>
            </w:r>
          </w:p>
          <w:p w14:paraId="332E5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5.成</w:t>
            </w:r>
            <w:r>
              <w:rPr>
                <w:rFonts w:hint="eastAsia" w:ascii="宋体" w:hAnsi="宋体" w:eastAsia="宋体" w:cs="宋体"/>
              </w:rPr>
              <w:t>交供应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商</w:t>
            </w:r>
            <w:r>
              <w:rPr>
                <w:rFonts w:hint="eastAsia" w:ascii="宋体" w:hAnsi="宋体" w:eastAsia="宋体" w:cs="宋体"/>
                <w:lang w:eastAsia="zh-CN"/>
              </w:rPr>
              <w:t>承诺所提供的产品不涉及侵犯第三方知识产权，由此涉及到的侵权纠纷，所有的责任由供方承担。</w:t>
            </w:r>
          </w:p>
          <w:p w14:paraId="0F719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▲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三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验收标准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 xml:space="preserve"> </w:t>
            </w:r>
          </w:p>
          <w:p w14:paraId="5264B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质量标准：执行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2025年版《中国药典》或地方药材标准，并符合采购人的内控质量标准（所有中药材性状为切片或切段）。</w:t>
            </w:r>
          </w:p>
          <w:p w14:paraId="0F9C8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验收标准及提出异议期限：采购人按执行标准和内控质量标准验收，货到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30日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内提出异议，超过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30日视为产品合格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。</w:t>
            </w:r>
          </w:p>
          <w:p w14:paraId="6D23A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8358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70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二、商务条款</w:t>
            </w:r>
          </w:p>
        </w:tc>
      </w:tr>
      <w:tr w14:paraId="21DEE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7B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供货</w:t>
            </w:r>
            <w:r>
              <w:rPr>
                <w:rFonts w:hint="eastAsia" w:ascii="宋体" w:hAnsi="宋体" w:eastAsia="宋体" w:cs="宋体"/>
                <w:szCs w:val="21"/>
              </w:rPr>
              <w:t>时间及地点</w:t>
            </w:r>
          </w:p>
        </w:tc>
        <w:tc>
          <w:tcPr>
            <w:tcW w:w="4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75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供货</w:t>
            </w:r>
            <w:r>
              <w:rPr>
                <w:rFonts w:hint="eastAsia" w:ascii="宋体" w:hAnsi="宋体" w:eastAsia="宋体" w:cs="宋体"/>
                <w:szCs w:val="21"/>
              </w:rPr>
              <w:t>时间、地点要求：</w:t>
            </w:r>
          </w:p>
          <w:p w14:paraId="6469A97F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供货</w:t>
            </w:r>
            <w:r>
              <w:rPr>
                <w:rFonts w:hint="eastAsia" w:ascii="宋体" w:hAnsi="宋体" w:eastAsia="宋体" w:cs="宋体"/>
                <w:szCs w:val="21"/>
              </w:rPr>
              <w:t>时间：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在签订合同后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20天内完成送货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，并提供药材随货同行单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  <w:p w14:paraId="44984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交货</w:t>
            </w:r>
            <w:r>
              <w:rPr>
                <w:rFonts w:hint="eastAsia" w:ascii="宋体" w:hAnsi="宋体" w:eastAsia="宋体" w:cs="宋体"/>
                <w:szCs w:val="21"/>
              </w:rPr>
              <w:t>地点：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广西南宁市邕宁区五象大道东段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51号</w:t>
            </w:r>
            <w:r>
              <w:rPr>
                <w:rFonts w:hint="eastAsia"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广西中医药大学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百年乐制药有限公司仓库。</w:t>
            </w:r>
          </w:p>
        </w:tc>
      </w:tr>
      <w:tr w14:paraId="6B7D3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86B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付款方式</w:t>
            </w:r>
          </w:p>
        </w:tc>
        <w:tc>
          <w:tcPr>
            <w:tcW w:w="4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AD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货到检验合格并提供合格增值税专用发票后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3个月内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将货款付至合同约定的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供货商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银行账户(该账户的真实性及合法性由成交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负责)；如因成交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提供的账户信息错误导致无法付款、迟延付款等情形的不视为采购人违约；成交人变更收款银行账户的，应在变更之前书面通知采购人，否则应承担采购人无法付款、迟延付款或付款错误等全部责任。</w:t>
            </w:r>
          </w:p>
        </w:tc>
      </w:tr>
      <w:tr w14:paraId="2B7B2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17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报价要求</w:t>
            </w:r>
          </w:p>
        </w:tc>
        <w:tc>
          <w:tcPr>
            <w:tcW w:w="4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757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本次报价须为人民币报价，包含：</w:t>
            </w:r>
            <w:r>
              <w:rPr>
                <w:rFonts w:ascii="Arial" w:hAnsi="Arial" w:cs="Arial"/>
                <w:color w:val="auto"/>
                <w:szCs w:val="21"/>
              </w:rPr>
              <w:t>产品</w:t>
            </w:r>
            <w:r>
              <w:rPr>
                <w:rFonts w:hint="eastAsia" w:ascii="Arial" w:hAnsi="Arial" w:cs="Arial"/>
                <w:color w:val="auto"/>
                <w:szCs w:val="21"/>
                <w:lang w:eastAsia="zh-CN"/>
              </w:rPr>
              <w:t>含税</w:t>
            </w:r>
            <w:r>
              <w:rPr>
                <w:rFonts w:ascii="Arial" w:hAnsi="Arial" w:cs="Arial"/>
                <w:color w:val="auto"/>
                <w:szCs w:val="21"/>
              </w:rPr>
              <w:t>价</w:t>
            </w:r>
            <w:r>
              <w:rPr>
                <w:rFonts w:hint="eastAsia" w:ascii="Arial" w:hAnsi="Arial" w:cs="Arial"/>
                <w:color w:val="auto"/>
                <w:szCs w:val="21"/>
                <w:lang w:eastAsia="zh-CN"/>
              </w:rPr>
              <w:t>（含</w:t>
            </w: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增值税专用发票</w:t>
            </w:r>
            <w:r>
              <w:rPr>
                <w:rFonts w:hint="eastAsia" w:ascii="Arial" w:hAnsi="Arial" w:cs="Arial"/>
                <w:color w:val="auto"/>
                <w:szCs w:val="21"/>
                <w:lang w:eastAsia="zh-CN"/>
              </w:rPr>
              <w:t>）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、运输费、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卸货入库费、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保险费等费用。</w:t>
            </w:r>
          </w:p>
        </w:tc>
      </w:tr>
      <w:tr w14:paraId="55583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5F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规范标准</w:t>
            </w:r>
          </w:p>
        </w:tc>
        <w:tc>
          <w:tcPr>
            <w:tcW w:w="4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24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执行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2025年版《中国药典》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执行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2025年版《中国药典》或地方药材标准，并符合采购人的内控质量标准（所有中药材性状为切片或切段）。</w:t>
            </w:r>
          </w:p>
          <w:p w14:paraId="2F6BC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 w:rightChars="-27" w:firstLine="420" w:firstLineChars="200"/>
              <w:jc w:val="left"/>
              <w:textAlignment w:val="auto"/>
              <w:rPr>
                <w:rFonts w:hint="default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并符合采购人的内控质量标准；中药材包装有规范标签，符合中药材法定包装规定。</w:t>
            </w:r>
          </w:p>
        </w:tc>
      </w:tr>
      <w:tr w14:paraId="11919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F3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三、</w:t>
            </w:r>
            <w:r>
              <w:rPr>
                <w:rFonts w:hint="eastAsia" w:ascii="宋体" w:hAnsi="宋体" w:eastAsia="宋体" w:cs="TimesNewRomanPSMT"/>
                <w:b/>
                <w:kern w:val="0"/>
                <w:szCs w:val="21"/>
              </w:rPr>
              <w:t>供应商响应情况</w:t>
            </w:r>
            <w:bookmarkStart w:id="1" w:name="_GoBack"/>
            <w:bookmarkEnd w:id="1"/>
          </w:p>
        </w:tc>
      </w:tr>
      <w:tr w14:paraId="1C8B0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C266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right="0"/>
              <w:jc w:val="both"/>
              <w:textAlignment w:val="auto"/>
              <w:rPr>
                <w:rFonts w:hint="eastAsia" w:ascii="宋体" w:hAnsi="宋体" w:eastAsia="宋体" w:cs="TimesNewRomanPSMT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 w:val="21"/>
                <w:szCs w:val="21"/>
                <w:lang w:val="en-US" w:eastAsia="zh-CN" w:bidi="ar-SA"/>
              </w:rPr>
              <w:t>广西中医药大学百年乐制药有限公司科研中试药材</w:t>
            </w: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 w:val="21"/>
                <w:szCs w:val="21"/>
                <w:lang w:val="en-US" w:eastAsia="zh-CN" w:bidi="ar-SA"/>
              </w:rPr>
              <w:t>采购项目技术需求响应情况：无偏离；</w:t>
            </w:r>
          </w:p>
          <w:p w14:paraId="3D0798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广西中医药大学百年乐制药有限</w:t>
            </w: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 w:val="21"/>
                <w:szCs w:val="21"/>
                <w:lang w:val="en-US" w:eastAsia="zh-CN" w:bidi="ar-SA"/>
              </w:rPr>
              <w:t>公司科研中试药材采购项目商</w:t>
            </w: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务条款响应情况：无偏离。</w:t>
            </w:r>
          </w:p>
        </w:tc>
      </w:tr>
      <w:tr w14:paraId="7E149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48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  <w:lang w:val="en-US" w:eastAsia="zh-CN"/>
              </w:rPr>
              <w:t>四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、供应商报价（可另附清单）</w:t>
            </w:r>
          </w:p>
        </w:tc>
      </w:tr>
      <w:tr w14:paraId="106E5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443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报价说明</w:t>
            </w:r>
            <w:r>
              <w:rPr>
                <w:rFonts w:hint="eastAsia" w:ascii="宋体" w:hAnsi="宋体" w:eastAsia="宋体" w:cs="Times New Roman"/>
                <w:szCs w:val="21"/>
              </w:rPr>
              <w:t>：报价总价须包含如产品价格、运输费、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卸货入库</w:t>
            </w:r>
            <w:r>
              <w:rPr>
                <w:rFonts w:hint="eastAsia" w:ascii="宋体" w:hAnsi="宋体" w:eastAsia="宋体" w:cs="Times New Roman"/>
                <w:szCs w:val="21"/>
              </w:rPr>
              <w:t>费、税费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和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保险费</w:t>
            </w:r>
            <w:r>
              <w:rPr>
                <w:rFonts w:hint="eastAsia" w:ascii="宋体" w:hAnsi="宋体" w:eastAsia="宋体" w:cs="Times New Roman"/>
                <w:szCs w:val="21"/>
              </w:rPr>
              <w:t>等全部费用。</w:t>
            </w:r>
          </w:p>
        </w:tc>
      </w:tr>
      <w:tr w14:paraId="5B89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4C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 xml:space="preserve">产品名称：见“采购项目（BNL-2026-JZT-016）物料报价清单”。                </w:t>
            </w:r>
          </w:p>
        </w:tc>
      </w:tr>
      <w:tr w14:paraId="6F489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15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执行质量标准：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执行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本</w:t>
            </w: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 w:val="21"/>
                <w:szCs w:val="21"/>
                <w:lang w:val="en-US" w:eastAsia="zh-CN" w:bidi="ar-SA"/>
              </w:rPr>
              <w:t>采购项目技术需求和</w:t>
            </w: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商务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约定的</w:t>
            </w: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质量标准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。</w:t>
            </w:r>
          </w:p>
        </w:tc>
      </w:tr>
      <w:tr w14:paraId="3105B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67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单价（元/公斤）：见“采购项目（BNL-2026-JZT-016）物料报价清单”</w:t>
            </w:r>
          </w:p>
        </w:tc>
      </w:tr>
      <w:tr w14:paraId="5F197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AD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发票类型及税率：见“采购项目（BNL-2026-JZT-016）物料报价清单”</w:t>
            </w:r>
          </w:p>
        </w:tc>
      </w:tr>
      <w:bookmarkEnd w:id="0"/>
    </w:tbl>
    <w:p w14:paraId="4D37A60E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</w:p>
    <w:p w14:paraId="78253B3F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</w:p>
    <w:p w14:paraId="4064E788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</w:p>
    <w:p w14:paraId="145362D0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</w:p>
    <w:p w14:paraId="70969149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</w:p>
    <w:p w14:paraId="70DFC000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</w:p>
    <w:p w14:paraId="5AAA08A5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</w:p>
    <w:p w14:paraId="6D0B67AC">
      <w:pPr>
        <w:keepNext w:val="0"/>
        <w:keepLines w:val="0"/>
        <w:pageBreakBefore w:val="0"/>
        <w:wordWrap/>
        <w:topLinePunct w:val="0"/>
        <w:bidi w:val="0"/>
        <w:spacing w:line="440" w:lineRule="exact"/>
        <w:ind w:firstLine="840" w:firstLineChars="300"/>
        <w:rPr>
          <w:rFonts w:hint="eastAsia" w:ascii="宋体" w:hAnsi="宋体" w:eastAsia="宋体" w:cs="Times New Roman"/>
          <w:b w:val="0"/>
          <w:bCs/>
          <w:sz w:val="28"/>
          <w:szCs w:val="28"/>
        </w:rPr>
      </w:pPr>
      <w:r>
        <w:rPr>
          <w:rFonts w:hint="eastAsia" w:ascii="宋体" w:hAnsi="宋体" w:eastAsia="宋体" w:cs="TimesNewRomanPSMT"/>
          <w:b w:val="0"/>
          <w:bCs/>
          <w:kern w:val="0"/>
          <w:sz w:val="28"/>
          <w:szCs w:val="28"/>
          <w:lang w:val="en-US" w:eastAsia="zh-CN"/>
        </w:rPr>
        <w:t>采购项目（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BNL-2026-JZT-0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16</w:t>
      </w:r>
      <w:r>
        <w:rPr>
          <w:rFonts w:hint="eastAsia" w:ascii="宋体" w:hAnsi="宋体" w:eastAsia="宋体" w:cs="TimesNewRomanPSMT"/>
          <w:b w:val="0"/>
          <w:bCs/>
          <w:kern w:val="0"/>
          <w:sz w:val="28"/>
          <w:szCs w:val="28"/>
          <w:lang w:val="en-US" w:eastAsia="zh-CN"/>
        </w:rPr>
        <w:t>）科研中药材报价清单</w:t>
      </w:r>
    </w:p>
    <w:tbl>
      <w:tblPr>
        <w:tblStyle w:val="7"/>
        <w:tblpPr w:leftFromText="180" w:rightFromText="180" w:vertAnchor="text" w:horzAnchor="page" w:tblpX="2032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367"/>
        <w:gridCol w:w="1268"/>
        <w:gridCol w:w="1350"/>
        <w:gridCol w:w="1695"/>
      </w:tblGrid>
      <w:tr w14:paraId="6B84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2B3573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标项</w:t>
            </w:r>
          </w:p>
        </w:tc>
        <w:tc>
          <w:tcPr>
            <w:tcW w:w="1420" w:type="dxa"/>
            <w:vAlign w:val="center"/>
          </w:tcPr>
          <w:p w14:paraId="36E6E3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品名</w:t>
            </w:r>
          </w:p>
        </w:tc>
        <w:tc>
          <w:tcPr>
            <w:tcW w:w="1367" w:type="dxa"/>
            <w:vAlign w:val="center"/>
          </w:tcPr>
          <w:p w14:paraId="3ECD89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数量（Kg）</w:t>
            </w:r>
          </w:p>
        </w:tc>
        <w:tc>
          <w:tcPr>
            <w:tcW w:w="1268" w:type="dxa"/>
            <w:vAlign w:val="center"/>
          </w:tcPr>
          <w:p w14:paraId="576545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(元/Kg)</w:t>
            </w:r>
          </w:p>
        </w:tc>
        <w:tc>
          <w:tcPr>
            <w:tcW w:w="1350" w:type="dxa"/>
            <w:vAlign w:val="center"/>
          </w:tcPr>
          <w:p w14:paraId="0315F4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金额（元）</w:t>
            </w:r>
          </w:p>
        </w:tc>
        <w:tc>
          <w:tcPr>
            <w:tcW w:w="1695" w:type="dxa"/>
            <w:vAlign w:val="center"/>
          </w:tcPr>
          <w:p w14:paraId="2D704A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发票类型   及税率</w:t>
            </w:r>
          </w:p>
        </w:tc>
      </w:tr>
      <w:tr w14:paraId="0CA45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top"/>
          </w:tcPr>
          <w:p w14:paraId="474F10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标项一</w:t>
            </w:r>
          </w:p>
        </w:tc>
        <w:tc>
          <w:tcPr>
            <w:tcW w:w="1420" w:type="dxa"/>
            <w:vAlign w:val="center"/>
          </w:tcPr>
          <w:p w14:paraId="245059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飞龙掌血  </w:t>
            </w:r>
          </w:p>
        </w:tc>
        <w:tc>
          <w:tcPr>
            <w:tcW w:w="1367" w:type="dxa"/>
            <w:vAlign w:val="center"/>
          </w:tcPr>
          <w:p w14:paraId="6F5118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600</w:t>
            </w:r>
          </w:p>
        </w:tc>
        <w:tc>
          <w:tcPr>
            <w:tcW w:w="1268" w:type="dxa"/>
          </w:tcPr>
          <w:p w14:paraId="0E6051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</w:tcPr>
          <w:p w14:paraId="0EFD39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5" w:type="dxa"/>
          </w:tcPr>
          <w:p w14:paraId="3B1980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CE14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top"/>
          </w:tcPr>
          <w:p w14:paraId="01C670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标项二</w:t>
            </w:r>
          </w:p>
        </w:tc>
        <w:tc>
          <w:tcPr>
            <w:tcW w:w="1420" w:type="dxa"/>
            <w:vAlign w:val="center"/>
          </w:tcPr>
          <w:p w14:paraId="5DD140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大钻    （黑老虎） </w:t>
            </w:r>
          </w:p>
        </w:tc>
        <w:tc>
          <w:tcPr>
            <w:tcW w:w="1367" w:type="dxa"/>
            <w:vAlign w:val="center"/>
          </w:tcPr>
          <w:p w14:paraId="77D7B2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1268" w:type="dxa"/>
          </w:tcPr>
          <w:p w14:paraId="1F8B8A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</w:tcPr>
          <w:p w14:paraId="433113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5" w:type="dxa"/>
          </w:tcPr>
          <w:p w14:paraId="30344A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851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top"/>
          </w:tcPr>
          <w:p w14:paraId="43C4EF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标项三</w:t>
            </w:r>
          </w:p>
        </w:tc>
        <w:tc>
          <w:tcPr>
            <w:tcW w:w="1420" w:type="dxa"/>
            <w:vAlign w:val="center"/>
          </w:tcPr>
          <w:p w14:paraId="3C15CA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八角枫 </w:t>
            </w:r>
          </w:p>
        </w:tc>
        <w:tc>
          <w:tcPr>
            <w:tcW w:w="1367" w:type="dxa"/>
            <w:vAlign w:val="center"/>
          </w:tcPr>
          <w:p w14:paraId="745280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240</w:t>
            </w:r>
          </w:p>
        </w:tc>
        <w:tc>
          <w:tcPr>
            <w:tcW w:w="1268" w:type="dxa"/>
          </w:tcPr>
          <w:p w14:paraId="2AFDAC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</w:tcPr>
          <w:p w14:paraId="06AFE8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5" w:type="dxa"/>
          </w:tcPr>
          <w:p w14:paraId="1F7EEE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947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top"/>
          </w:tcPr>
          <w:p w14:paraId="7F74BF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标项四</w:t>
            </w:r>
          </w:p>
        </w:tc>
        <w:tc>
          <w:tcPr>
            <w:tcW w:w="1420" w:type="dxa"/>
            <w:vAlign w:val="center"/>
          </w:tcPr>
          <w:p w14:paraId="294249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青风藤 </w:t>
            </w:r>
          </w:p>
        </w:tc>
        <w:tc>
          <w:tcPr>
            <w:tcW w:w="1367" w:type="dxa"/>
            <w:vAlign w:val="center"/>
          </w:tcPr>
          <w:p w14:paraId="500201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600</w:t>
            </w:r>
          </w:p>
        </w:tc>
        <w:tc>
          <w:tcPr>
            <w:tcW w:w="1268" w:type="dxa"/>
          </w:tcPr>
          <w:p w14:paraId="027C9E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</w:tcPr>
          <w:p w14:paraId="621835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5" w:type="dxa"/>
          </w:tcPr>
          <w:p w14:paraId="209EBD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8A5A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top"/>
          </w:tcPr>
          <w:p w14:paraId="242FE4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标项五</w:t>
            </w:r>
          </w:p>
        </w:tc>
        <w:tc>
          <w:tcPr>
            <w:tcW w:w="1420" w:type="dxa"/>
            <w:vAlign w:val="center"/>
          </w:tcPr>
          <w:p w14:paraId="4E20E0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鸡血藤 </w:t>
            </w:r>
          </w:p>
        </w:tc>
        <w:tc>
          <w:tcPr>
            <w:tcW w:w="1367" w:type="dxa"/>
            <w:vAlign w:val="center"/>
          </w:tcPr>
          <w:p w14:paraId="2E3813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600</w:t>
            </w:r>
          </w:p>
        </w:tc>
        <w:tc>
          <w:tcPr>
            <w:tcW w:w="1268" w:type="dxa"/>
          </w:tcPr>
          <w:p w14:paraId="1F67EA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</w:tcPr>
          <w:p w14:paraId="66421B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5" w:type="dxa"/>
          </w:tcPr>
          <w:p w14:paraId="7F4DDE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B18E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top"/>
          </w:tcPr>
          <w:p w14:paraId="62A05B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标项六</w:t>
            </w:r>
          </w:p>
        </w:tc>
        <w:tc>
          <w:tcPr>
            <w:tcW w:w="1420" w:type="dxa"/>
            <w:vAlign w:val="center"/>
          </w:tcPr>
          <w:p w14:paraId="1CF3B2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九龙藤 </w:t>
            </w:r>
          </w:p>
        </w:tc>
        <w:tc>
          <w:tcPr>
            <w:tcW w:w="1367" w:type="dxa"/>
            <w:vAlign w:val="center"/>
          </w:tcPr>
          <w:p w14:paraId="182043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600</w:t>
            </w:r>
          </w:p>
        </w:tc>
        <w:tc>
          <w:tcPr>
            <w:tcW w:w="1268" w:type="dxa"/>
          </w:tcPr>
          <w:p w14:paraId="4A2ECC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</w:tcPr>
          <w:p w14:paraId="34E890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5" w:type="dxa"/>
          </w:tcPr>
          <w:p w14:paraId="7FA301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32B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top"/>
          </w:tcPr>
          <w:p w14:paraId="52A1A2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标项七</w:t>
            </w:r>
          </w:p>
        </w:tc>
        <w:tc>
          <w:tcPr>
            <w:tcW w:w="1420" w:type="dxa"/>
            <w:vAlign w:val="center"/>
          </w:tcPr>
          <w:p w14:paraId="1C08F7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五指毛桃 </w:t>
            </w:r>
          </w:p>
        </w:tc>
        <w:tc>
          <w:tcPr>
            <w:tcW w:w="1367" w:type="dxa"/>
            <w:vAlign w:val="center"/>
          </w:tcPr>
          <w:p w14:paraId="2435ED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600</w:t>
            </w:r>
          </w:p>
        </w:tc>
        <w:tc>
          <w:tcPr>
            <w:tcW w:w="1268" w:type="dxa"/>
          </w:tcPr>
          <w:p w14:paraId="064E2D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</w:tcPr>
          <w:p w14:paraId="3BAAC1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5" w:type="dxa"/>
          </w:tcPr>
          <w:p w14:paraId="21E81F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47C3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top"/>
          </w:tcPr>
          <w:p w14:paraId="49821B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标项八</w:t>
            </w:r>
          </w:p>
        </w:tc>
        <w:tc>
          <w:tcPr>
            <w:tcW w:w="1420" w:type="dxa"/>
            <w:vAlign w:val="center"/>
          </w:tcPr>
          <w:p w14:paraId="35A7B5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两面针</w:t>
            </w:r>
          </w:p>
        </w:tc>
        <w:tc>
          <w:tcPr>
            <w:tcW w:w="1367" w:type="dxa"/>
            <w:vAlign w:val="center"/>
          </w:tcPr>
          <w:p w14:paraId="703A6D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600</w:t>
            </w:r>
          </w:p>
        </w:tc>
        <w:tc>
          <w:tcPr>
            <w:tcW w:w="1268" w:type="dxa"/>
          </w:tcPr>
          <w:p w14:paraId="060C95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</w:tcPr>
          <w:p w14:paraId="22E745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5" w:type="dxa"/>
          </w:tcPr>
          <w:p w14:paraId="62ECC0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DCB7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top"/>
          </w:tcPr>
          <w:p w14:paraId="172A15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1420" w:type="dxa"/>
            <w:vAlign w:val="top"/>
          </w:tcPr>
          <w:p w14:paraId="6FADF8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67" w:type="dxa"/>
          </w:tcPr>
          <w:p w14:paraId="4D8D819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8" w:type="dxa"/>
          </w:tcPr>
          <w:p w14:paraId="2E0343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</w:tcPr>
          <w:p w14:paraId="031903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95" w:type="dxa"/>
          </w:tcPr>
          <w:p w14:paraId="25EE19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16C144F2">
      <w:pPr>
        <w:keepNext w:val="0"/>
        <w:keepLines w:val="0"/>
        <w:pageBreakBefore w:val="0"/>
        <w:wordWrap/>
        <w:topLinePunct w:val="0"/>
        <w:bidi w:val="0"/>
        <w:spacing w:line="440" w:lineRule="exact"/>
        <w:ind w:firstLine="480" w:firstLineChars="200"/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>注：报价可以报其中一个标项或多个标项。</w:t>
      </w:r>
    </w:p>
    <w:p w14:paraId="3DE87699">
      <w:pPr>
        <w:bidi w:val="0"/>
        <w:rPr>
          <w:rFonts w:hint="eastAsia"/>
          <w:lang w:val="en-US" w:eastAsia="zh-CN"/>
        </w:rPr>
      </w:pPr>
    </w:p>
    <w:p w14:paraId="7D2EA9AF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供货商名称（盖章）：</w:t>
      </w:r>
    </w:p>
    <w:p w14:paraId="4B59D7CD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 w:val="24"/>
          <w:szCs w:val="24"/>
        </w:rPr>
      </w:pPr>
    </w:p>
    <w:p w14:paraId="0865ECDD">
      <w:pPr>
        <w:keepNext w:val="0"/>
        <w:keepLines w:val="0"/>
        <w:pageBreakBefore w:val="0"/>
        <w:wordWrap/>
        <w:topLinePunct w:val="0"/>
        <w:bidi w:val="0"/>
        <w:spacing w:line="440" w:lineRule="exact"/>
        <w:ind w:firstLine="2400" w:firstLineChars="1000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法定代表人或委托代理人（签字）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ab/>
      </w:r>
    </w:p>
    <w:p w14:paraId="701BD2B1">
      <w:pPr>
        <w:keepNext w:val="0"/>
        <w:keepLines w:val="0"/>
        <w:pageBreakBefore w:val="0"/>
        <w:wordWrap/>
        <w:topLinePunct w:val="0"/>
        <w:bidi w:val="0"/>
        <w:spacing w:line="440" w:lineRule="exact"/>
        <w:ind w:firstLine="1680" w:firstLineChars="700"/>
        <w:rPr>
          <w:rFonts w:hint="eastAsia" w:ascii="宋体" w:hAnsi="宋体" w:eastAsia="宋体" w:cs="Times New Roman"/>
          <w:b w:val="0"/>
          <w:bCs/>
          <w:sz w:val="24"/>
          <w:szCs w:val="24"/>
        </w:rPr>
      </w:pPr>
    </w:p>
    <w:p w14:paraId="62E33909">
      <w:pPr>
        <w:keepNext w:val="0"/>
        <w:keepLines w:val="0"/>
        <w:pageBreakBefore w:val="0"/>
        <w:wordWrap/>
        <w:topLinePunct w:val="0"/>
        <w:bidi w:val="0"/>
        <w:spacing w:line="440" w:lineRule="exact"/>
        <w:ind w:firstLine="2400" w:firstLineChars="1000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 xml:space="preserve">联系人及联系电话： </w:t>
      </w:r>
    </w:p>
    <w:p w14:paraId="0B1FC3EC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 w:val="24"/>
          <w:szCs w:val="24"/>
        </w:rPr>
      </w:pPr>
    </w:p>
    <w:p w14:paraId="405FDBED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 w:val="24"/>
          <w:szCs w:val="24"/>
        </w:rPr>
      </w:pP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 xml:space="preserve">              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报价日期：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>年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 xml:space="preserve">月  </w:t>
      </w:r>
      <w:r>
        <w:rPr>
          <w:rFonts w:hint="eastAsia" w:ascii="宋体" w:hAnsi="宋体" w:eastAsia="宋体" w:cs="Times New Roman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b w:val="0"/>
          <w:bCs/>
          <w:sz w:val="24"/>
          <w:szCs w:val="24"/>
        </w:rPr>
        <w:t xml:space="preserve"> 日  </w:t>
      </w:r>
    </w:p>
    <w:p w14:paraId="7DAC8A19">
      <w:pPr>
        <w:tabs>
          <w:tab w:val="left" w:pos="2923"/>
        </w:tabs>
        <w:bidi w:val="0"/>
        <w:jc w:val="left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2067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5B404C">
                          <w:pPr>
                            <w:pStyle w:val="3"/>
                            <w:spacing w:line="400" w:lineRule="exac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第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页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14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5B404C">
                    <w:pPr>
                      <w:pStyle w:val="3"/>
                      <w:spacing w:line="400" w:lineRule="exac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第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页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14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71B35">
    <w:pPr>
      <w:pStyle w:val="4"/>
      <w:pBdr>
        <w:bottom w:val="none" w:color="auto" w:sz="0" w:space="1"/>
      </w:pBdr>
      <w:jc w:val="left"/>
    </w:pPr>
    <w:r>
      <w:rPr>
        <w:rFonts w:hint="eastAsia" w:ascii="宋体" w:hAnsi="宋体" w:eastAsia="宋体" w:cs="Times New Roman"/>
        <w:b/>
        <w:sz w:val="24"/>
        <w:szCs w:val="24"/>
      </w:rPr>
      <w:t>附件1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F485BD"/>
    <w:multiLevelType w:val="singleLevel"/>
    <w:tmpl w:val="90F485B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50"/>
    <w:rsid w:val="001D4F50"/>
    <w:rsid w:val="001E68E3"/>
    <w:rsid w:val="00AF1302"/>
    <w:rsid w:val="00B927D7"/>
    <w:rsid w:val="00E8777A"/>
    <w:rsid w:val="01655E65"/>
    <w:rsid w:val="01C367D3"/>
    <w:rsid w:val="01C62035"/>
    <w:rsid w:val="022E5C05"/>
    <w:rsid w:val="04655F8C"/>
    <w:rsid w:val="04732647"/>
    <w:rsid w:val="05681A7F"/>
    <w:rsid w:val="06BD0B7D"/>
    <w:rsid w:val="08D555B1"/>
    <w:rsid w:val="094B5F2D"/>
    <w:rsid w:val="095011A8"/>
    <w:rsid w:val="09B714A6"/>
    <w:rsid w:val="0A077A73"/>
    <w:rsid w:val="0CA228D6"/>
    <w:rsid w:val="0CB11F5E"/>
    <w:rsid w:val="0D7D1AE1"/>
    <w:rsid w:val="0DD979BE"/>
    <w:rsid w:val="0ECF491D"/>
    <w:rsid w:val="0F692FC4"/>
    <w:rsid w:val="10142F30"/>
    <w:rsid w:val="10DB3A4D"/>
    <w:rsid w:val="11E76422"/>
    <w:rsid w:val="125C296C"/>
    <w:rsid w:val="12977E48"/>
    <w:rsid w:val="13257202"/>
    <w:rsid w:val="138419BE"/>
    <w:rsid w:val="13901E1C"/>
    <w:rsid w:val="14364B2C"/>
    <w:rsid w:val="149D6AD6"/>
    <w:rsid w:val="14A9579D"/>
    <w:rsid w:val="14E065F6"/>
    <w:rsid w:val="165805C2"/>
    <w:rsid w:val="16BC60CF"/>
    <w:rsid w:val="16BC74EB"/>
    <w:rsid w:val="16DE7DF3"/>
    <w:rsid w:val="171C16BE"/>
    <w:rsid w:val="17233A58"/>
    <w:rsid w:val="18786BBB"/>
    <w:rsid w:val="18962D35"/>
    <w:rsid w:val="19F677A5"/>
    <w:rsid w:val="1AA50C28"/>
    <w:rsid w:val="1ADF413A"/>
    <w:rsid w:val="1B083691"/>
    <w:rsid w:val="1BC700A6"/>
    <w:rsid w:val="1C36422E"/>
    <w:rsid w:val="1CD557F5"/>
    <w:rsid w:val="1D2160C0"/>
    <w:rsid w:val="1DDA6E3B"/>
    <w:rsid w:val="1E3073F6"/>
    <w:rsid w:val="1F921EC9"/>
    <w:rsid w:val="1FD47FE6"/>
    <w:rsid w:val="1FDE0E64"/>
    <w:rsid w:val="20793910"/>
    <w:rsid w:val="20E701EC"/>
    <w:rsid w:val="21023A56"/>
    <w:rsid w:val="211B39F2"/>
    <w:rsid w:val="233A6D8B"/>
    <w:rsid w:val="244514B2"/>
    <w:rsid w:val="244E2BAF"/>
    <w:rsid w:val="24D33F00"/>
    <w:rsid w:val="25B032A3"/>
    <w:rsid w:val="25D7040B"/>
    <w:rsid w:val="263C0693"/>
    <w:rsid w:val="26415830"/>
    <w:rsid w:val="2668592C"/>
    <w:rsid w:val="266D2F42"/>
    <w:rsid w:val="26B6325E"/>
    <w:rsid w:val="26FF55EB"/>
    <w:rsid w:val="277F515E"/>
    <w:rsid w:val="28E747BC"/>
    <w:rsid w:val="295B52D4"/>
    <w:rsid w:val="2A5B628D"/>
    <w:rsid w:val="2B3C1135"/>
    <w:rsid w:val="2B4C581C"/>
    <w:rsid w:val="2BEA3971"/>
    <w:rsid w:val="2D377E06"/>
    <w:rsid w:val="2E1729F2"/>
    <w:rsid w:val="2EFF6701"/>
    <w:rsid w:val="2F5729E1"/>
    <w:rsid w:val="2F723377"/>
    <w:rsid w:val="2F8C4439"/>
    <w:rsid w:val="307570AD"/>
    <w:rsid w:val="30B575EE"/>
    <w:rsid w:val="316B6114"/>
    <w:rsid w:val="31C20619"/>
    <w:rsid w:val="3287538B"/>
    <w:rsid w:val="32E47207"/>
    <w:rsid w:val="344050CD"/>
    <w:rsid w:val="351F18AB"/>
    <w:rsid w:val="35944047"/>
    <w:rsid w:val="37013DBF"/>
    <w:rsid w:val="37EE6935"/>
    <w:rsid w:val="380B6117"/>
    <w:rsid w:val="385E319C"/>
    <w:rsid w:val="38B55427"/>
    <w:rsid w:val="392751D2"/>
    <w:rsid w:val="39965EB4"/>
    <w:rsid w:val="3A002929"/>
    <w:rsid w:val="3CB432BB"/>
    <w:rsid w:val="3D514A6B"/>
    <w:rsid w:val="3E0C2BE9"/>
    <w:rsid w:val="3EBF22E5"/>
    <w:rsid w:val="3ECA4880"/>
    <w:rsid w:val="3FAD322F"/>
    <w:rsid w:val="3FB52080"/>
    <w:rsid w:val="3FEE6892"/>
    <w:rsid w:val="405C5913"/>
    <w:rsid w:val="40816268"/>
    <w:rsid w:val="40EA5463"/>
    <w:rsid w:val="41A90E7A"/>
    <w:rsid w:val="434846C3"/>
    <w:rsid w:val="436456F5"/>
    <w:rsid w:val="43813731"/>
    <w:rsid w:val="43EE7018"/>
    <w:rsid w:val="455E3D2A"/>
    <w:rsid w:val="46284338"/>
    <w:rsid w:val="46966CED"/>
    <w:rsid w:val="47046B53"/>
    <w:rsid w:val="4808647A"/>
    <w:rsid w:val="49542533"/>
    <w:rsid w:val="4A034176"/>
    <w:rsid w:val="4A963F66"/>
    <w:rsid w:val="4B3544BD"/>
    <w:rsid w:val="4BED3109"/>
    <w:rsid w:val="4C4D4AF8"/>
    <w:rsid w:val="4C7C02FE"/>
    <w:rsid w:val="4D783DF7"/>
    <w:rsid w:val="4F22199A"/>
    <w:rsid w:val="501A2F44"/>
    <w:rsid w:val="51530173"/>
    <w:rsid w:val="519A6E44"/>
    <w:rsid w:val="51B05DD2"/>
    <w:rsid w:val="52287B99"/>
    <w:rsid w:val="52C378C2"/>
    <w:rsid w:val="5348349A"/>
    <w:rsid w:val="54F93A6F"/>
    <w:rsid w:val="55D342C0"/>
    <w:rsid w:val="56BC6B02"/>
    <w:rsid w:val="598865FE"/>
    <w:rsid w:val="5A18753D"/>
    <w:rsid w:val="5A8A56FB"/>
    <w:rsid w:val="5AC95C92"/>
    <w:rsid w:val="5B045FF3"/>
    <w:rsid w:val="5CE2303B"/>
    <w:rsid w:val="5D372FDE"/>
    <w:rsid w:val="5D63417B"/>
    <w:rsid w:val="5D7739CD"/>
    <w:rsid w:val="5D893349"/>
    <w:rsid w:val="5DA15E51"/>
    <w:rsid w:val="5E08087F"/>
    <w:rsid w:val="5ECD756E"/>
    <w:rsid w:val="5EFA466C"/>
    <w:rsid w:val="5F3538F6"/>
    <w:rsid w:val="613C540F"/>
    <w:rsid w:val="616A248C"/>
    <w:rsid w:val="61DE0274"/>
    <w:rsid w:val="623E6F65"/>
    <w:rsid w:val="626369CC"/>
    <w:rsid w:val="62EE6294"/>
    <w:rsid w:val="633E1174"/>
    <w:rsid w:val="63BD3EBA"/>
    <w:rsid w:val="64AB5BDF"/>
    <w:rsid w:val="667002F2"/>
    <w:rsid w:val="66EE2F76"/>
    <w:rsid w:val="67077730"/>
    <w:rsid w:val="676A1B15"/>
    <w:rsid w:val="679D472E"/>
    <w:rsid w:val="690949A2"/>
    <w:rsid w:val="6A3823D3"/>
    <w:rsid w:val="6A785FA7"/>
    <w:rsid w:val="6B0F149F"/>
    <w:rsid w:val="6B33493A"/>
    <w:rsid w:val="6B454EC0"/>
    <w:rsid w:val="6BA2206D"/>
    <w:rsid w:val="6D834F05"/>
    <w:rsid w:val="6DE416C7"/>
    <w:rsid w:val="6DFD1A82"/>
    <w:rsid w:val="6E9956F4"/>
    <w:rsid w:val="6ED65844"/>
    <w:rsid w:val="6F103A37"/>
    <w:rsid w:val="6F2B4B68"/>
    <w:rsid w:val="700A27F0"/>
    <w:rsid w:val="7032791A"/>
    <w:rsid w:val="70567B70"/>
    <w:rsid w:val="708435F4"/>
    <w:rsid w:val="7103668C"/>
    <w:rsid w:val="72904220"/>
    <w:rsid w:val="72B34E05"/>
    <w:rsid w:val="73263829"/>
    <w:rsid w:val="74D177C5"/>
    <w:rsid w:val="74E85415"/>
    <w:rsid w:val="760B6C80"/>
    <w:rsid w:val="76545617"/>
    <w:rsid w:val="76772D89"/>
    <w:rsid w:val="7684599D"/>
    <w:rsid w:val="76A50F09"/>
    <w:rsid w:val="778E0CAF"/>
    <w:rsid w:val="77C6382D"/>
    <w:rsid w:val="78450BF6"/>
    <w:rsid w:val="7ACD3452"/>
    <w:rsid w:val="7CB87B46"/>
    <w:rsid w:val="7D845D1C"/>
    <w:rsid w:val="7E517595"/>
    <w:rsid w:val="7E7E1CD9"/>
    <w:rsid w:val="7EC871EC"/>
    <w:rsid w:val="7FD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0"/>
    <w:rPr>
      <w:rFonts w:ascii="方正小标宋简体" w:hAnsi="方正小标宋简体" w:eastAsia="方正小标宋简体"/>
      <w:b/>
      <w:kern w:val="0"/>
      <w:sz w:val="44"/>
      <w:szCs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Default"/>
    <w:autoRedefine/>
    <w:qFormat/>
    <w:uiPriority w:val="0"/>
    <w:pPr>
      <w:widowControl w:val="0"/>
      <w:autoSpaceDE w:val="0"/>
      <w:autoSpaceDN w:val="0"/>
      <w:adjustRightInd w:val="0"/>
      <w:jc w:val="center"/>
    </w:pPr>
    <w:rPr>
      <w:rFonts w:ascii="仿宋_GB2312" w:hAnsi="仿宋" w:eastAsia="仿宋_GB2312" w:cs="黑体"/>
      <w:bCs/>
      <w:color w:val="00000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1484</Words>
  <Characters>1702</Characters>
  <Lines>22</Lines>
  <Paragraphs>6</Paragraphs>
  <TotalTime>1</TotalTime>
  <ScaleCrop>false</ScaleCrop>
  <LinksUpToDate>false</LinksUpToDate>
  <CharactersWithSpaces>1784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刘李火生</cp:lastModifiedBy>
  <cp:lastPrinted>2026-03-17T03:40:00Z</cp:lastPrinted>
  <dcterms:modified xsi:type="dcterms:W3CDTF">2026-07-14T05:02:02Z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eyJoZGlkIjoiYjU1ZDMxM2MwYzI0ZGYxN2U0Yjc5YzI1ZDAyMDExMTAiLCJ1c2VySWQiOiIxMjAwMDA5MzEwIn0=</vt:lpwstr>
  </property>
  <property fmtid="{D5CDD505-2E9C-101B-9397-08002B2CF9AE}" pid="4" name="ICV">
    <vt:lpwstr>B620A5A3CD8E46A8AB55263321095487_13</vt:lpwstr>
  </property>
</Properties>
</file>