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63485A4">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r>
        <w:rPr>
          <w:rStyle w:val="5"/>
          <w:rFonts w:hint="eastAsia" w:ascii="微软雅黑" w:hAnsi="微软雅黑" w:eastAsia="微软雅黑" w:cs="微软雅黑"/>
          <w:i w:val="0"/>
          <w:iCs w:val="0"/>
          <w:caps w:val="0"/>
          <w:color w:val="000000"/>
          <w:spacing w:val="0"/>
          <w:sz w:val="24"/>
          <w:szCs w:val="24"/>
        </w:rPr>
        <w:t>      附件： </w:t>
      </w:r>
    </w:p>
    <w:p w14:paraId="1FD8185A">
      <w:pPr>
        <w:widowControl/>
        <w:spacing w:line="460" w:lineRule="exact"/>
        <w:jc w:val="center"/>
        <w:rPr>
          <w:rFonts w:ascii="宋体" w:hAnsi="宋体" w:cs="宋体"/>
          <w:b/>
          <w:bCs/>
          <w:color w:val="000000"/>
          <w:sz w:val="28"/>
          <w:szCs w:val="28"/>
        </w:rPr>
      </w:pPr>
      <w:r>
        <w:rPr>
          <w:rFonts w:hint="eastAsia" w:ascii="宋体" w:hAnsi="宋体" w:cs="宋体"/>
          <w:b/>
          <w:bCs/>
          <w:color w:val="000000"/>
          <w:sz w:val="28"/>
          <w:szCs w:val="28"/>
        </w:rPr>
        <w:t>需求征集明细表</w:t>
      </w:r>
    </w:p>
    <w:tbl>
      <w:tblPr>
        <w:tblStyle w:val="3"/>
        <w:tblpPr w:leftFromText="180" w:rightFromText="180" w:vertAnchor="text" w:horzAnchor="page" w:tblpXSpec="center" w:tblpY="469"/>
        <w:tblOverlap w:val="never"/>
        <w:tblW w:w="511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550"/>
        <w:gridCol w:w="496"/>
        <w:gridCol w:w="345"/>
        <w:gridCol w:w="1290"/>
        <w:gridCol w:w="3064"/>
        <w:gridCol w:w="540"/>
        <w:gridCol w:w="540"/>
        <w:gridCol w:w="865"/>
        <w:gridCol w:w="931"/>
      </w:tblGrid>
      <w:tr w14:paraId="53E837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446758FD">
            <w:pPr>
              <w:rPr>
                <w:rFonts w:ascii="宋体" w:hAnsi="宋体" w:cs="仿宋_GB2312"/>
                <w:b/>
                <w:bCs/>
                <w:color w:val="000000"/>
                <w:kern w:val="0"/>
              </w:rPr>
            </w:pPr>
            <w:r>
              <w:rPr>
                <w:rFonts w:hint="eastAsia" w:ascii="宋体" w:hAnsi="宋体" w:cs="仿宋_GB2312"/>
                <w:b/>
                <w:bCs/>
                <w:color w:val="000000"/>
                <w:kern w:val="0"/>
              </w:rPr>
              <w:t>一、技术要求</w:t>
            </w:r>
          </w:p>
        </w:tc>
      </w:tr>
      <w:tr w14:paraId="2310A0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18" w:type="pct"/>
            <w:noWrap w:val="0"/>
            <w:tcMar>
              <w:top w:w="13" w:type="dxa"/>
              <w:left w:w="57" w:type="dxa"/>
              <w:bottom w:w="0" w:type="dxa"/>
              <w:right w:w="57" w:type="dxa"/>
            </w:tcMar>
            <w:vAlign w:val="center"/>
          </w:tcPr>
          <w:p w14:paraId="653265CC">
            <w:pPr>
              <w:jc w:val="center"/>
              <w:rPr>
                <w:rFonts w:ascii="宋体" w:hAnsi="宋体"/>
                <w:b/>
                <w:bCs/>
                <w:color w:val="000000"/>
                <w:kern w:val="0"/>
              </w:rPr>
            </w:pPr>
            <w:r>
              <w:rPr>
                <w:rFonts w:hint="eastAsia" w:ascii="宋体" w:hAnsi="宋体"/>
                <w:b/>
                <w:bCs/>
                <w:color w:val="000000"/>
                <w:kern w:val="0"/>
              </w:rPr>
              <w:t>序号</w:t>
            </w:r>
          </w:p>
        </w:tc>
        <w:tc>
          <w:tcPr>
            <w:tcW w:w="487" w:type="pct"/>
            <w:gridSpan w:val="2"/>
            <w:noWrap w:val="0"/>
            <w:tcMar>
              <w:top w:w="13" w:type="dxa"/>
              <w:left w:w="57" w:type="dxa"/>
              <w:bottom w:w="0" w:type="dxa"/>
              <w:right w:w="57" w:type="dxa"/>
            </w:tcMar>
            <w:vAlign w:val="center"/>
          </w:tcPr>
          <w:p w14:paraId="1DE5EFD8">
            <w:pPr>
              <w:snapToGrid w:val="0"/>
              <w:jc w:val="center"/>
              <w:rPr>
                <w:rFonts w:ascii="宋体" w:hAnsi="宋体"/>
                <w:b/>
                <w:bCs/>
                <w:color w:val="000000"/>
              </w:rPr>
            </w:pPr>
            <w:r>
              <w:rPr>
                <w:rFonts w:hint="eastAsia" w:ascii="宋体" w:hAnsi="宋体"/>
                <w:b/>
                <w:bCs/>
                <w:color w:val="000000"/>
              </w:rPr>
              <w:t>采购内容</w:t>
            </w:r>
          </w:p>
        </w:tc>
        <w:tc>
          <w:tcPr>
            <w:tcW w:w="748" w:type="pct"/>
            <w:noWrap w:val="0"/>
            <w:tcMar>
              <w:top w:w="13" w:type="dxa"/>
              <w:left w:w="57" w:type="dxa"/>
              <w:bottom w:w="0" w:type="dxa"/>
              <w:right w:w="57" w:type="dxa"/>
            </w:tcMar>
            <w:vAlign w:val="center"/>
          </w:tcPr>
          <w:p w14:paraId="6DB1791C">
            <w:pPr>
              <w:snapToGrid w:val="0"/>
              <w:jc w:val="center"/>
              <w:rPr>
                <w:rFonts w:ascii="宋体" w:hAnsi="宋体"/>
                <w:b/>
                <w:bCs/>
                <w:color w:val="000000"/>
                <w:kern w:val="0"/>
              </w:rPr>
            </w:pPr>
            <w:r>
              <w:rPr>
                <w:rFonts w:hint="eastAsia" w:ascii="宋体" w:hAnsi="宋体"/>
                <w:b/>
                <w:bCs/>
                <w:color w:val="000000"/>
              </w:rPr>
              <w:t>品牌型号、生产厂家</w:t>
            </w:r>
          </w:p>
        </w:tc>
        <w:tc>
          <w:tcPr>
            <w:tcW w:w="1777" w:type="pct"/>
            <w:noWrap w:val="0"/>
            <w:tcMar>
              <w:top w:w="13" w:type="dxa"/>
              <w:left w:w="57" w:type="dxa"/>
              <w:bottom w:w="0" w:type="dxa"/>
              <w:right w:w="57" w:type="dxa"/>
            </w:tcMar>
            <w:vAlign w:val="center"/>
          </w:tcPr>
          <w:p w14:paraId="1ED71BA5">
            <w:pPr>
              <w:jc w:val="center"/>
              <w:rPr>
                <w:rFonts w:ascii="宋体" w:hAnsi="宋体"/>
                <w:b/>
                <w:bCs/>
                <w:color w:val="000000"/>
              </w:rPr>
            </w:pPr>
            <w:r>
              <w:rPr>
                <w:rFonts w:hint="eastAsia" w:ascii="宋体" w:hAnsi="宋体" w:cs="仿宋_GB2312"/>
                <w:b/>
                <w:bCs/>
                <w:color w:val="000000"/>
                <w:kern w:val="0"/>
              </w:rPr>
              <w:t>技术参数</w:t>
            </w:r>
          </w:p>
        </w:tc>
        <w:tc>
          <w:tcPr>
            <w:tcW w:w="313" w:type="pct"/>
            <w:noWrap w:val="0"/>
            <w:vAlign w:val="center"/>
          </w:tcPr>
          <w:p w14:paraId="76C6C11B">
            <w:pPr>
              <w:jc w:val="center"/>
              <w:rPr>
                <w:rFonts w:ascii="宋体" w:hAnsi="宋体" w:cs="仿宋_GB2312"/>
                <w:b/>
                <w:bCs/>
                <w:color w:val="000000"/>
                <w:kern w:val="0"/>
              </w:rPr>
            </w:pPr>
            <w:r>
              <w:rPr>
                <w:rFonts w:hint="eastAsia" w:ascii="宋体" w:hAnsi="宋体" w:cs="仿宋_GB2312"/>
                <w:b/>
                <w:bCs/>
                <w:color w:val="000000"/>
                <w:kern w:val="0"/>
              </w:rPr>
              <w:t>计量</w:t>
            </w:r>
          </w:p>
          <w:p w14:paraId="371418AF">
            <w:pPr>
              <w:jc w:val="center"/>
              <w:rPr>
                <w:rFonts w:ascii="宋体" w:hAnsi="宋体"/>
                <w:b/>
                <w:bCs/>
                <w:color w:val="000000"/>
              </w:rPr>
            </w:pPr>
            <w:r>
              <w:rPr>
                <w:rFonts w:hint="eastAsia" w:ascii="宋体" w:hAnsi="宋体" w:cs="仿宋_GB2312"/>
                <w:b/>
                <w:bCs/>
                <w:color w:val="000000"/>
                <w:kern w:val="0"/>
              </w:rPr>
              <w:t>单位</w:t>
            </w:r>
          </w:p>
        </w:tc>
        <w:tc>
          <w:tcPr>
            <w:tcW w:w="313" w:type="pct"/>
            <w:noWrap w:val="0"/>
            <w:vAlign w:val="center"/>
          </w:tcPr>
          <w:p w14:paraId="30B0098B">
            <w:pPr>
              <w:jc w:val="center"/>
              <w:rPr>
                <w:rFonts w:ascii="宋体" w:hAnsi="宋体"/>
                <w:b/>
                <w:bCs/>
                <w:color w:val="000000"/>
              </w:rPr>
            </w:pPr>
            <w:r>
              <w:rPr>
                <w:rFonts w:hint="eastAsia" w:ascii="宋体" w:hAnsi="宋体" w:cs="仿宋_GB2312"/>
                <w:b/>
                <w:bCs/>
                <w:color w:val="000000"/>
                <w:kern w:val="0"/>
              </w:rPr>
              <w:t>数量</w:t>
            </w:r>
          </w:p>
        </w:tc>
        <w:tc>
          <w:tcPr>
            <w:tcW w:w="501" w:type="pct"/>
            <w:noWrap w:val="0"/>
            <w:vAlign w:val="center"/>
          </w:tcPr>
          <w:p w14:paraId="0409E966">
            <w:pPr>
              <w:jc w:val="center"/>
              <w:rPr>
                <w:rFonts w:ascii="宋体" w:hAnsi="宋体" w:cs="仿宋_GB2312"/>
                <w:b/>
                <w:bCs/>
                <w:color w:val="000000"/>
                <w:kern w:val="0"/>
              </w:rPr>
            </w:pPr>
            <w:r>
              <w:rPr>
                <w:rFonts w:hint="eastAsia" w:ascii="宋体" w:hAnsi="宋体" w:cs="仿宋_GB2312"/>
                <w:b/>
                <w:bCs/>
                <w:color w:val="000000"/>
                <w:kern w:val="0"/>
              </w:rPr>
              <w:t>单价</w:t>
            </w:r>
          </w:p>
          <w:p w14:paraId="359650E4">
            <w:pPr>
              <w:jc w:val="center"/>
              <w:rPr>
                <w:rFonts w:ascii="宋体" w:hAnsi="宋体" w:cs="仿宋_GB2312"/>
                <w:b/>
                <w:bCs/>
                <w:color w:val="000000"/>
                <w:kern w:val="0"/>
              </w:rPr>
            </w:pPr>
            <w:r>
              <w:rPr>
                <w:rFonts w:hint="eastAsia" w:ascii="宋体" w:hAnsi="宋体" w:cs="仿宋_GB2312"/>
                <w:b/>
                <w:bCs/>
                <w:color w:val="000000"/>
                <w:kern w:val="0"/>
              </w:rPr>
              <w:t>（元）</w:t>
            </w:r>
          </w:p>
        </w:tc>
        <w:tc>
          <w:tcPr>
            <w:tcW w:w="539" w:type="pct"/>
            <w:noWrap w:val="0"/>
            <w:vAlign w:val="center"/>
          </w:tcPr>
          <w:p w14:paraId="5B55DA05">
            <w:pPr>
              <w:jc w:val="center"/>
              <w:rPr>
                <w:rFonts w:ascii="宋体" w:hAnsi="宋体" w:cs="仿宋_GB2312"/>
                <w:b/>
                <w:bCs/>
                <w:color w:val="000000"/>
                <w:kern w:val="0"/>
              </w:rPr>
            </w:pPr>
            <w:r>
              <w:rPr>
                <w:rFonts w:hint="eastAsia" w:ascii="宋体" w:hAnsi="宋体" w:cs="仿宋_GB2312"/>
                <w:b/>
                <w:bCs/>
                <w:color w:val="000000"/>
                <w:kern w:val="0"/>
              </w:rPr>
              <w:t>小计</w:t>
            </w:r>
          </w:p>
          <w:p w14:paraId="49C0784D">
            <w:pPr>
              <w:jc w:val="center"/>
              <w:rPr>
                <w:rFonts w:ascii="宋体" w:hAnsi="宋体" w:cs="仿宋_GB2312"/>
                <w:b/>
                <w:bCs/>
                <w:color w:val="000000"/>
                <w:kern w:val="0"/>
              </w:rPr>
            </w:pPr>
            <w:r>
              <w:rPr>
                <w:rFonts w:hint="eastAsia" w:ascii="宋体" w:hAnsi="宋体" w:cs="仿宋_GB2312"/>
                <w:b/>
                <w:bCs/>
                <w:color w:val="000000"/>
                <w:kern w:val="0"/>
              </w:rPr>
              <w:t>（元）</w:t>
            </w:r>
          </w:p>
        </w:tc>
      </w:tr>
      <w:tr w14:paraId="3B69DD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390" w:hRule="atLeast"/>
          <w:jc w:val="center"/>
        </w:trPr>
        <w:tc>
          <w:tcPr>
            <w:tcW w:w="318" w:type="pct"/>
            <w:noWrap w:val="0"/>
            <w:tcMar>
              <w:top w:w="13" w:type="dxa"/>
              <w:left w:w="57" w:type="dxa"/>
              <w:bottom w:w="0" w:type="dxa"/>
              <w:right w:w="57" w:type="dxa"/>
            </w:tcMar>
            <w:vAlign w:val="center"/>
          </w:tcPr>
          <w:p w14:paraId="49221303">
            <w:pPr>
              <w:jc w:val="center"/>
              <w:rPr>
                <w:rFonts w:hint="eastAsia" w:ascii="宋体" w:hAnsi="宋体" w:cs="宋体" w:eastAsiaTheme="minorEastAsia"/>
                <w:color w:val="000000"/>
                <w:lang w:eastAsia="zh-CN"/>
              </w:rPr>
            </w:pPr>
            <w:bookmarkStart w:id="0" w:name="_Hlk199951007"/>
            <w:bookmarkStart w:id="1" w:name="OLE_LINK5" w:colFirst="1" w:colLast="69"/>
            <w:bookmarkStart w:id="2" w:name="OLE_LINK6" w:colFirst="1" w:colLast="69"/>
            <w:r>
              <w:rPr>
                <w:rFonts w:hint="eastAsia"/>
                <w:color w:val="000000"/>
                <w:lang w:val="en-US" w:eastAsia="zh-CN"/>
              </w:rPr>
              <w:t>1</w:t>
            </w:r>
          </w:p>
        </w:tc>
        <w:tc>
          <w:tcPr>
            <w:tcW w:w="487" w:type="pct"/>
            <w:gridSpan w:val="2"/>
            <w:noWrap w:val="0"/>
            <w:tcMar>
              <w:top w:w="13" w:type="dxa"/>
              <w:left w:w="57" w:type="dxa"/>
              <w:bottom w:w="0" w:type="dxa"/>
              <w:right w:w="57" w:type="dxa"/>
            </w:tcMar>
            <w:vAlign w:val="center"/>
          </w:tcPr>
          <w:p w14:paraId="0A0B913D">
            <w:pPr>
              <w:keepNext w:val="0"/>
              <w:keepLines w:val="0"/>
              <w:widowControl/>
              <w:suppressLineNumbers w:val="0"/>
              <w:jc w:val="left"/>
              <w:textAlignment w:val="center"/>
              <w:rPr>
                <w:rFonts w:ascii="宋体" w:hAnsi="宋体" w:cs="宋体"/>
                <w:color w:val="000000"/>
              </w:rPr>
            </w:pPr>
            <w:r>
              <w:rPr>
                <w:rFonts w:hint="eastAsia" w:ascii="宋体" w:hAnsi="宋体" w:eastAsia="宋体" w:cs="宋体"/>
                <w:i w:val="0"/>
                <w:iCs w:val="0"/>
                <w:color w:val="000000"/>
                <w:kern w:val="0"/>
                <w:sz w:val="20"/>
                <w:szCs w:val="20"/>
                <w:u w:val="none"/>
                <w:lang w:val="en-US" w:eastAsia="zh-CN" w:bidi="ar"/>
              </w:rPr>
              <w:t>高分辨离子淌度四极杆飞行时间质谱仪</w:t>
            </w:r>
          </w:p>
        </w:tc>
        <w:tc>
          <w:tcPr>
            <w:tcW w:w="748" w:type="pct"/>
            <w:noWrap w:val="0"/>
            <w:tcMar>
              <w:top w:w="13" w:type="dxa"/>
              <w:left w:w="57" w:type="dxa"/>
              <w:bottom w:w="0" w:type="dxa"/>
              <w:right w:w="57" w:type="dxa"/>
            </w:tcMar>
            <w:vAlign w:val="center"/>
          </w:tcPr>
          <w:p w14:paraId="7B7698C9">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Bruke/tims TOF Pro2</w:t>
            </w:r>
          </w:p>
          <w:p w14:paraId="0A3143EB">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 xml:space="preserve">Waters/Select Series Cyclic </w:t>
            </w:r>
          </w:p>
          <w:p w14:paraId="01D011AD">
            <w:pPr>
              <w:keepNext w:val="0"/>
              <w:keepLines w:val="0"/>
              <w:widowControl/>
              <w:numPr>
                <w:ilvl w:val="0"/>
                <w:numId w:val="1"/>
              </w:numPr>
              <w:suppressLineNumbers w:val="0"/>
              <w:jc w:val="left"/>
              <w:textAlignment w:val="center"/>
              <w:rPr>
                <w:rFonts w:hint="eastAsia"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Thermo Fisher/Orbitrap Exploris 240</w:t>
            </w:r>
          </w:p>
        </w:tc>
        <w:tc>
          <w:tcPr>
            <w:tcW w:w="1777" w:type="pct"/>
            <w:noWrap w:val="0"/>
            <w:tcMar>
              <w:top w:w="13" w:type="dxa"/>
              <w:left w:w="57" w:type="dxa"/>
              <w:bottom w:w="0" w:type="dxa"/>
              <w:right w:w="57" w:type="dxa"/>
            </w:tcMar>
            <w:vAlign w:val="top"/>
          </w:tcPr>
          <w:p w14:paraId="0812366E">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1.主要应用范围</w:t>
            </w:r>
          </w:p>
          <w:p w14:paraId="3A719A85">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1.1 化合物分子式确认和未知物分子式推断，有机化合物的定性定量，目标化合物和未知物的筛选、定量、确证; </w:t>
            </w:r>
          </w:p>
          <w:p w14:paraId="27488E64">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1.2 带CCS值的淌度分离，可进行同分异构分离；</w:t>
            </w:r>
          </w:p>
          <w:p w14:paraId="00FF755C">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1.3 痕量多目标物质的快速筛查; </w:t>
            </w:r>
          </w:p>
          <w:p w14:paraId="0321DD74">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1.4 代谢组学分析：代谢物鉴定和定量分析，代谢通路研究；</w:t>
            </w:r>
          </w:p>
          <w:p w14:paraId="17E5C955">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1.5 多肽、蛋白、核酸分析；</w:t>
            </w:r>
          </w:p>
          <w:p w14:paraId="2187A012">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1.6 蛋白质组学分析：使用二级质谱进行大规模高通量的蛋白质鉴定；翻译后修饰蛋白质组学；定量蛋白质组学，包括非标记定量、标记相对定量、以及目标蛋白质的绝对定量；蛋白相互作用研究；</w:t>
            </w:r>
          </w:p>
          <w:p w14:paraId="15587AB2">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1.7 药物开发：小分子或大分子药物分析；药物筛选或新药发现；基于组学技术的药物作用基理研究；药用作用靶点发现。</w:t>
            </w:r>
          </w:p>
          <w:p w14:paraId="662E1A69">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2.技术参数</w:t>
            </w:r>
          </w:p>
          <w:p w14:paraId="6BEB7F21">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 质谱仪技术规格</w:t>
            </w:r>
          </w:p>
          <w:p w14:paraId="727F582C">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2.1.1 离子源采用逆向反吹干燥气体加热</w:t>
            </w:r>
          </w:p>
          <w:p w14:paraId="2BA95473">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2.1.2 捕集型离子淌度可以将单电荷离子与多电荷离子完全分离开，在复杂蛋白组学分析时，可以屏蔽单电荷的干扰，得到更高质量的 MS2谱图。</w:t>
            </w:r>
          </w:p>
          <w:p w14:paraId="1B89BA31">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2.1.3 非轴线型的气体辅助喷雾，可承受流速高达1 mL/min</w:t>
            </w:r>
          </w:p>
          <w:p w14:paraId="1E741853">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2.1.4 玻璃毛细管，起到将大气压与真空系统隔离和产生电压差的目的</w:t>
            </w:r>
          </w:p>
          <w:p w14:paraId="75E9399B">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▲2.1.5 具备离子淌度功能，可测定CCS值，离子淌度分辨率≥100</w:t>
            </w:r>
          </w:p>
          <w:p w14:paraId="156C2E20">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▲2.1.6 四极杆质量过滤器，质量范围20-3000m/z</w:t>
            </w:r>
          </w:p>
          <w:p w14:paraId="2EE2DDA7">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2.1.7 离子淌度分辨率可调节，共三种不同的离子淌度分辨率模式可供选择</w:t>
            </w:r>
          </w:p>
          <w:p w14:paraId="1280C90E">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2.1.8 进样口喷针部分电压为零，利于HPLC的联接，安全可靠。</w:t>
            </w:r>
          </w:p>
          <w:p w14:paraId="5C5506FA">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2.1.9 飞行时间质量分析器采用单次反射模式。</w:t>
            </w:r>
          </w:p>
          <w:p w14:paraId="493C6395">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2.1.10 可正负离子切换，且飞行管配有先进的水冷恒温温控装置。</w:t>
            </w:r>
          </w:p>
          <w:p w14:paraId="2713FB54">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2.1.11 五级真空差动系统   </w:t>
            </w:r>
          </w:p>
          <w:p w14:paraId="7040DB07">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2.1.12 TOF分辨率：采用V模式条件，在45 Hz扫描速度下，可以保证分辨率 ≥60000 。  </w:t>
            </w:r>
          </w:p>
          <w:p w14:paraId="7EDE1B6C">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2.1.13 准确度：内标校准：平均误差 ≤ 0.8 ppm、外标校准：平均误差 ≤ 2 ppm</w:t>
            </w:r>
          </w:p>
          <w:p w14:paraId="76AE3FB6">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2.1.14 不需要利用第二个喷雾器进行实时质量轴校正</w:t>
            </w:r>
          </w:p>
          <w:p w14:paraId="569E5F7F">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2.1.15 同位素丰度真实值与理论值比率偏差(用TOF-MS Tuning Mix m/z=622、922、1522测试)：＜2%</w:t>
            </w:r>
          </w:p>
          <w:p w14:paraId="74066CC3">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2.1.16 离子淌度准确度（内标校正）：≤ 0.5%</w:t>
            </w:r>
          </w:p>
          <w:p w14:paraId="2916C268">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2.1.17 MS采样频率：≥ 50 Hz</w:t>
            </w:r>
          </w:p>
          <w:p w14:paraId="6A950F84">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2.1.18 MS/MS采样频率：≥ 120 Hz</w:t>
            </w:r>
          </w:p>
          <w:p w14:paraId="42BD7D89">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▲2.1.19 质量范围： 高达20,000 m/z，可由软件自动设定 </w:t>
            </w:r>
          </w:p>
          <w:p w14:paraId="2CF1A302">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2.1.20采集模式：全4D-采集模式（dda-PASEF, dia-PASEF, prm-PASEF）</w:t>
            </w:r>
          </w:p>
          <w:p w14:paraId="3F024BB0">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2.1.21灵敏度： </w:t>
            </w:r>
          </w:p>
          <w:p w14:paraId="78E5E1A7">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MS：1pg/uL利血平（m/z 609），信噪比&gt;100: 1 RMS。</w:t>
            </w:r>
          </w:p>
          <w:p w14:paraId="10033121">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MS/MS模式：消耗量为2.5fmol多肽Glu-Fibrinopeptide B时，二价离子的碎片离子y’中最强峰信噪比≥50:1。</w:t>
            </w:r>
          </w:p>
          <w:p w14:paraId="4BB8152F">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2.2液相色谱仪技术规格 </w:t>
            </w:r>
          </w:p>
          <w:p w14:paraId="54A99765">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2.2.1自动进样器</w:t>
            </w:r>
          </w:p>
          <w:p w14:paraId="6C656A31">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定量环：20 μL</w:t>
            </w:r>
          </w:p>
          <w:p w14:paraId="51B391A1">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进样范围：1 – 10 μL (部分进样)或 20 μL (满环进样)</w:t>
            </w:r>
          </w:p>
          <w:p w14:paraId="11FA6323">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样品盘容量：2 个54 位进样盘或 96 孔板或384孔板。</w:t>
            </w:r>
          </w:p>
          <w:p w14:paraId="11912B32">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样品盘控温范围：低于室温15℃</w:t>
            </w:r>
          </w:p>
          <w:p w14:paraId="2170BC56">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2.2.2泵参数</w:t>
            </w:r>
          </w:p>
          <w:p w14:paraId="60FB0DB9">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泵：单动式注射泵</w:t>
            </w:r>
          </w:p>
          <w:p w14:paraId="622CF099">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流速：50 – 2000 nL/min</w:t>
            </w:r>
          </w:p>
          <w:p w14:paraId="41D16431">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样品上样方式：通过压力驱动上样   </w:t>
            </w:r>
          </w:p>
          <w:p w14:paraId="4E2B1264">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上样泵流速（压力）：上样泵按照设定的压力进行上样，上样泵最大压力1000bar</w:t>
            </w:r>
          </w:p>
          <w:p w14:paraId="7FE04B9D">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梯度延迟体积：&lt; 400 nL</w:t>
            </w:r>
          </w:p>
          <w:p w14:paraId="3FC69A07">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压力上限：1000 bar</w:t>
            </w:r>
          </w:p>
          <w:p w14:paraId="7B24E304">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2.2.3柱温箱</w:t>
            </w:r>
          </w:p>
          <w:p w14:paraId="61794BF0">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柱温箱温度：25- 60℃</w:t>
            </w:r>
          </w:p>
          <w:p w14:paraId="7AF4DF93">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柱温准确度：+/- 0.5°C</w:t>
            </w:r>
          </w:p>
          <w:p w14:paraId="51AD1CFD">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2.3软件</w:t>
            </w:r>
          </w:p>
          <w:p w14:paraId="5AC35095">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2.3.1 Compass 软件包，用于HPLC和timsTOF控制，数据采集和处理，以及数据分析。</w:t>
            </w:r>
          </w:p>
          <w:p w14:paraId="2E1FF930">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2.3.2 ProteoScape 蛋白组学分析软件</w:t>
            </w:r>
          </w:p>
          <w:p w14:paraId="0E2FB59C">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2.3.2.1软件是基于GPU的数据库检索平台，可与质谱数据采集电脑通讯进行实</w:t>
            </w:r>
          </w:p>
          <w:p w14:paraId="4D3A7461">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时数据库检索，大幅提高数据检索速度；</w:t>
            </w:r>
          </w:p>
          <w:p w14:paraId="69DCA954">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2.3.2.2可通过网络浏览器远程进行结果查看；</w:t>
            </w:r>
          </w:p>
          <w:p w14:paraId="296E08FD">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2.3.2.3可预设QC或样本搜库结果可接受标准，智能决定样本序列表的运行与停止，以节省珍贵的样本与机时；</w:t>
            </w:r>
          </w:p>
          <w:p w14:paraId="21419C50">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2.3.2.4支持timsTOF 系列质谱dda-PASEF和dia-PASEF采集模式下数据的蛋白</w:t>
            </w:r>
          </w:p>
          <w:p w14:paraId="1AB4FD2B">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质定性定量和翻译后修饰分析；</w:t>
            </w:r>
          </w:p>
          <w:p w14:paraId="33F4E480">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2.3.2.5软件包含TIMScore™ 功能将 CCS 测量值与软件预测值进行比较，通过</w:t>
            </w:r>
          </w:p>
          <w:p w14:paraId="59334C4F">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引入 CCS 维度打分并进行谱图判定来提升多肽鉴定置信度；</w:t>
            </w:r>
          </w:p>
          <w:p w14:paraId="641AC895">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2.3.2.6内嵌BPS Novor 模块可实现不依赖数据库的实时从头测序分析，适合肽</w:t>
            </w:r>
          </w:p>
          <w:p w14:paraId="753BBC97">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组学、免疫肽组学、宏蛋白组学等应用场景分析。</w:t>
            </w:r>
          </w:p>
          <w:p w14:paraId="28C6432D">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3.配置要求</w:t>
            </w:r>
          </w:p>
          <w:p w14:paraId="237F0EBE">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 xml:space="preserve">3.1高分辨离子淌度质谱仪主机1套 </w:t>
            </w:r>
          </w:p>
          <w:p w14:paraId="1EB47145">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3.2纳升液相色谱1台</w:t>
            </w:r>
          </w:p>
          <w:p w14:paraId="6150D670">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3.3蛋白组学分析软件1套</w:t>
            </w:r>
          </w:p>
          <w:p w14:paraId="24068D18">
            <w:pPr>
              <w:keepNext w:val="0"/>
              <w:keepLines w:val="0"/>
              <w:widowControl/>
              <w:suppressLineNumbers w:val="0"/>
              <w:jc w:val="left"/>
              <w:textAlignment w:val="top"/>
              <w:rPr>
                <w:rFonts w:hint="eastAsia" w:ascii="宋体" w:hAnsi="宋体" w:cs="宋体"/>
                <w:color w:val="000000"/>
              </w:rPr>
            </w:pPr>
            <w:r>
              <w:rPr>
                <w:rFonts w:hint="eastAsia" w:ascii="宋体" w:hAnsi="宋体" w:cs="宋体"/>
                <w:color w:val="000000"/>
              </w:rPr>
              <w:t>3.4不间断电源 1套</w:t>
            </w:r>
          </w:p>
          <w:p w14:paraId="6BF78BF9">
            <w:pPr>
              <w:keepNext w:val="0"/>
              <w:keepLines w:val="0"/>
              <w:widowControl/>
              <w:suppressLineNumbers w:val="0"/>
              <w:jc w:val="left"/>
              <w:textAlignment w:val="top"/>
              <w:rPr>
                <w:rFonts w:ascii="宋体" w:hAnsi="宋体" w:cs="宋体"/>
                <w:color w:val="000000"/>
              </w:rPr>
            </w:pPr>
            <w:r>
              <w:rPr>
                <w:rFonts w:hint="eastAsia" w:ascii="宋体" w:hAnsi="宋体" w:cs="宋体"/>
                <w:color w:val="000000"/>
              </w:rPr>
              <w:t>3.5氮气发生器 1套                                                                                                                                                                                                     若投标人选择进口产品参与投标，投标文件中必须提供生产厂家或代理商针对本项目的授权委托书及售后服务承诺书原件。</w:t>
            </w:r>
          </w:p>
        </w:tc>
        <w:tc>
          <w:tcPr>
            <w:tcW w:w="313" w:type="pct"/>
            <w:noWrap w:val="0"/>
            <w:vAlign w:val="center"/>
          </w:tcPr>
          <w:p w14:paraId="223FF689">
            <w:pPr>
              <w:keepNext w:val="0"/>
              <w:keepLines w:val="0"/>
              <w:widowControl/>
              <w:suppressLineNumbers w:val="0"/>
              <w:jc w:val="left"/>
              <w:textAlignment w:val="center"/>
              <w:rPr>
                <w:rFonts w:hint="default" w:ascii="宋体" w:hAnsi="宋体" w:cs="宋体" w:eastAsiaTheme="minorEastAsia"/>
                <w:color w:val="000000"/>
                <w:lang w:val="en-US" w:eastAsia="zh-CN"/>
              </w:rPr>
            </w:pPr>
            <w:r>
              <w:rPr>
                <w:rFonts w:hint="eastAsia" w:ascii="宋体" w:hAnsi="宋体" w:eastAsia="宋体" w:cs="宋体"/>
                <w:i w:val="0"/>
                <w:iCs w:val="0"/>
                <w:color w:val="000000"/>
                <w:kern w:val="0"/>
                <w:sz w:val="20"/>
                <w:szCs w:val="20"/>
                <w:u w:val="none"/>
                <w:lang w:val="en-US" w:eastAsia="zh-CN" w:bidi="ar"/>
              </w:rPr>
              <w:t>套</w:t>
            </w:r>
          </w:p>
        </w:tc>
        <w:tc>
          <w:tcPr>
            <w:tcW w:w="313" w:type="pct"/>
            <w:noWrap w:val="0"/>
            <w:vAlign w:val="center"/>
          </w:tcPr>
          <w:p w14:paraId="661A2F1E">
            <w:pPr>
              <w:keepNext w:val="0"/>
              <w:keepLines w:val="0"/>
              <w:widowControl/>
              <w:suppressLineNumbers w:val="0"/>
              <w:jc w:val="left"/>
              <w:textAlignment w:val="center"/>
              <w:rPr>
                <w:rFonts w:hint="eastAsia" w:ascii="宋体" w:hAnsi="宋体" w:cs="宋体" w:eastAsiaTheme="minorEastAsia"/>
                <w:color w:val="000000"/>
                <w:kern w:val="0"/>
                <w:lang w:val="en-US" w:eastAsia="zh-CN" w:bidi="ar"/>
              </w:rPr>
            </w:pPr>
            <w:r>
              <w:rPr>
                <w:rFonts w:hint="eastAsia" w:ascii="宋体" w:hAnsi="宋体" w:eastAsia="宋体" w:cs="宋体"/>
                <w:i w:val="0"/>
                <w:iCs w:val="0"/>
                <w:color w:val="000000"/>
                <w:kern w:val="0"/>
                <w:sz w:val="20"/>
                <w:szCs w:val="20"/>
                <w:u w:val="none"/>
                <w:lang w:val="en-US" w:eastAsia="zh-CN" w:bidi="ar"/>
              </w:rPr>
              <w:t>1</w:t>
            </w:r>
          </w:p>
        </w:tc>
        <w:tc>
          <w:tcPr>
            <w:tcW w:w="501" w:type="pct"/>
            <w:noWrap w:val="0"/>
            <w:vAlign w:val="center"/>
          </w:tcPr>
          <w:p w14:paraId="2C123C7D">
            <w:pPr>
              <w:keepNext w:val="0"/>
              <w:keepLines w:val="0"/>
              <w:widowControl/>
              <w:suppressLineNumbers w:val="0"/>
              <w:jc w:val="left"/>
              <w:textAlignment w:val="center"/>
              <w:rPr>
                <w:rFonts w:hint="default" w:ascii="宋体" w:hAnsi="宋体" w:eastAsia="宋体" w:cs="宋体"/>
                <w:i w:val="0"/>
                <w:iCs w:val="0"/>
                <w:color w:val="000000"/>
                <w:kern w:val="0"/>
                <w:sz w:val="20"/>
                <w:szCs w:val="20"/>
                <w:u w:val="none"/>
                <w:lang w:val="en-US" w:eastAsia="zh-CN" w:bidi="ar"/>
              </w:rPr>
            </w:pPr>
            <w:r>
              <w:rPr>
                <w:rFonts w:hint="eastAsia" w:ascii="宋体" w:hAnsi="宋体" w:eastAsia="宋体" w:cs="宋体"/>
                <w:i w:val="0"/>
                <w:iCs w:val="0"/>
                <w:color w:val="000000"/>
                <w:kern w:val="0"/>
                <w:sz w:val="20"/>
                <w:szCs w:val="20"/>
                <w:u w:val="none"/>
                <w:lang w:val="en-US" w:eastAsia="zh-CN" w:bidi="ar"/>
              </w:rPr>
              <w:t>7,300,000.00</w:t>
            </w:r>
          </w:p>
        </w:tc>
        <w:tc>
          <w:tcPr>
            <w:tcW w:w="539" w:type="pct"/>
            <w:noWrap w:val="0"/>
            <w:vAlign w:val="center"/>
          </w:tcPr>
          <w:p w14:paraId="4624523A">
            <w:pPr>
              <w:keepNext w:val="0"/>
              <w:keepLines w:val="0"/>
              <w:widowControl/>
              <w:suppressLineNumbers w:val="0"/>
              <w:jc w:val="left"/>
              <w:textAlignment w:val="center"/>
              <w:rPr>
                <w:rFonts w:hint="default" w:ascii="宋体" w:hAnsi="宋体" w:cs="宋体"/>
                <w:color w:val="000000"/>
                <w:kern w:val="0"/>
                <w:lang w:val="en-US" w:bidi="zh-CN"/>
              </w:rPr>
            </w:pPr>
            <w:r>
              <w:rPr>
                <w:rFonts w:hint="eastAsia" w:ascii="宋体" w:hAnsi="宋体" w:eastAsia="宋体" w:cs="宋体"/>
                <w:i w:val="0"/>
                <w:iCs w:val="0"/>
                <w:color w:val="000000"/>
                <w:kern w:val="0"/>
                <w:sz w:val="20"/>
                <w:szCs w:val="20"/>
                <w:u w:val="none"/>
                <w:lang w:val="en-US" w:eastAsia="zh-CN" w:bidi="ar"/>
              </w:rPr>
              <w:t>7,300,000.00</w:t>
            </w:r>
          </w:p>
        </w:tc>
      </w:tr>
      <w:bookmarkEnd w:id="0"/>
      <w:bookmarkEnd w:id="1"/>
      <w:bookmarkEnd w:id="2"/>
      <w:tr w14:paraId="3FB1BC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3331" w:type="pct"/>
            <w:gridSpan w:val="5"/>
            <w:noWrap w:val="0"/>
            <w:tcMar>
              <w:top w:w="13" w:type="dxa"/>
              <w:left w:w="57" w:type="dxa"/>
              <w:bottom w:w="0" w:type="dxa"/>
              <w:right w:w="57" w:type="dxa"/>
            </w:tcMar>
            <w:vAlign w:val="center"/>
          </w:tcPr>
          <w:p w14:paraId="72309B8A">
            <w:pPr>
              <w:widowControl/>
              <w:jc w:val="center"/>
              <w:textAlignment w:val="center"/>
              <w:rPr>
                <w:rFonts w:ascii="宋体" w:hAnsi="宋体" w:cs="宋体"/>
                <w:b/>
                <w:color w:val="000000"/>
                <w:kern w:val="0"/>
                <w:lang w:bidi="zh-CN"/>
              </w:rPr>
            </w:pPr>
            <w:r>
              <w:rPr>
                <w:rFonts w:hint="eastAsia" w:ascii="宋体" w:hAnsi="宋体" w:cs="宋体"/>
                <w:b/>
                <w:color w:val="000000"/>
                <w:kern w:val="0"/>
                <w:lang w:bidi="zh-CN"/>
              </w:rPr>
              <w:t>合计金额：（大写）人民币</w:t>
            </w:r>
            <w:r>
              <w:rPr>
                <w:rFonts w:ascii="宋体" w:hAnsi="宋体" w:cs="宋体"/>
                <w:b/>
                <w:color w:val="000000"/>
                <w:kern w:val="0"/>
                <w:u w:val="single"/>
                <w:lang w:bidi="zh-CN"/>
              </w:rPr>
              <w:t xml:space="preserve"> </w:t>
            </w:r>
            <w:r>
              <w:rPr>
                <w:rFonts w:hint="eastAsia" w:ascii="宋体" w:hAnsi="宋体" w:cs="宋体"/>
                <w:b/>
                <w:color w:val="000000"/>
                <w:kern w:val="0"/>
                <w:u w:val="single"/>
                <w:lang w:bidi="zh-CN"/>
              </w:rPr>
              <w:t>伍</w:t>
            </w:r>
            <w:r>
              <w:rPr>
                <w:rFonts w:hint="eastAsia" w:ascii="宋体" w:hAnsi="宋体" w:cs="宋体"/>
                <w:b/>
                <w:color w:val="000000"/>
                <w:kern w:val="0"/>
                <w:u w:val="single"/>
                <w:lang w:val="en-US" w:bidi="zh-CN"/>
              </w:rPr>
              <w:t>拾万</w:t>
            </w:r>
            <w:r>
              <w:rPr>
                <w:rFonts w:hint="eastAsia" w:ascii="宋体" w:hAnsi="宋体" w:cs="宋体"/>
                <w:b/>
                <w:color w:val="000000"/>
                <w:kern w:val="0"/>
                <w:lang w:bidi="zh-CN"/>
              </w:rPr>
              <w:t>元整</w:t>
            </w:r>
          </w:p>
        </w:tc>
        <w:tc>
          <w:tcPr>
            <w:tcW w:w="1668" w:type="pct"/>
            <w:gridSpan w:val="4"/>
            <w:noWrap w:val="0"/>
            <w:vAlign w:val="center"/>
          </w:tcPr>
          <w:p w14:paraId="02603391">
            <w:pPr>
              <w:widowControl/>
              <w:jc w:val="left"/>
              <w:textAlignment w:val="center"/>
              <w:rPr>
                <w:rFonts w:ascii="宋体" w:hAnsi="宋体" w:cs="宋体"/>
                <w:b/>
                <w:color w:val="000000"/>
                <w:kern w:val="0"/>
                <w:lang w:bidi="zh-CN"/>
              </w:rPr>
            </w:pPr>
            <w:r>
              <w:rPr>
                <w:rFonts w:hint="eastAsia" w:ascii="宋体" w:hAnsi="宋体" w:cs="宋体"/>
                <w:b/>
                <w:color w:val="000000"/>
                <w:kern w:val="0"/>
                <w:lang w:bidi="zh-CN"/>
              </w:rPr>
              <w:t>（小写）¥</w:t>
            </w:r>
            <w:r>
              <w:rPr>
                <w:rFonts w:hint="eastAsia" w:ascii="宋体" w:hAnsi="宋体" w:cs="宋体"/>
                <w:b/>
                <w:color w:val="000000"/>
                <w:kern w:val="0"/>
                <w:u w:val="single"/>
                <w:lang w:val="en-US" w:bidi="zh-CN"/>
              </w:rPr>
              <w:t>7,300,000.00</w:t>
            </w:r>
            <w:r>
              <w:rPr>
                <w:rFonts w:ascii="宋体" w:hAnsi="宋体" w:cs="宋体"/>
                <w:b/>
                <w:color w:val="000000"/>
                <w:kern w:val="0"/>
                <w:u w:val="single"/>
                <w:lang w:bidi="zh-CN"/>
              </w:rPr>
              <w:t xml:space="preserve">  </w:t>
            </w:r>
          </w:p>
        </w:tc>
      </w:tr>
      <w:tr w14:paraId="2C34B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54" w:hRule="atLeast"/>
          <w:jc w:val="center"/>
        </w:trPr>
        <w:tc>
          <w:tcPr>
            <w:tcW w:w="5000" w:type="pct"/>
            <w:gridSpan w:val="9"/>
            <w:noWrap w:val="0"/>
            <w:tcMar>
              <w:top w:w="13" w:type="dxa"/>
              <w:left w:w="57" w:type="dxa"/>
              <w:bottom w:w="0" w:type="dxa"/>
              <w:right w:w="57" w:type="dxa"/>
            </w:tcMar>
            <w:vAlign w:val="center"/>
          </w:tcPr>
          <w:p w14:paraId="19530EC5">
            <w:pPr>
              <w:widowControl/>
              <w:jc w:val="left"/>
              <w:textAlignment w:val="center"/>
              <w:rPr>
                <w:rFonts w:ascii="宋体" w:hAnsi="宋体" w:cs="宋体"/>
                <w:b/>
                <w:color w:val="000000"/>
                <w:kern w:val="0"/>
                <w:lang w:bidi="zh-CN"/>
              </w:rPr>
            </w:pPr>
            <w:r>
              <w:rPr>
                <w:rFonts w:hint="eastAsia" w:ascii="宋体" w:hAnsi="宋体"/>
                <w:b/>
                <w:bCs/>
                <w:color w:val="000000"/>
              </w:rPr>
              <w:t>二、商务要求</w:t>
            </w:r>
          </w:p>
        </w:tc>
      </w:tr>
      <w:tr w14:paraId="792165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A322C96">
            <w:pPr>
              <w:jc w:val="center"/>
              <w:rPr>
                <w:rFonts w:ascii="宋体" w:hAnsi="宋体" w:cs="宋体"/>
                <w:b/>
                <w:bCs/>
              </w:rPr>
            </w:pPr>
            <w:r>
              <w:rPr>
                <w:rFonts w:hint="eastAsia" w:ascii="宋体" w:hAnsi="宋体" w:cs="宋体"/>
                <w:b/>
                <w:bCs/>
              </w:rPr>
              <w:t>报价说明</w:t>
            </w:r>
          </w:p>
        </w:tc>
        <w:tc>
          <w:tcPr>
            <w:tcW w:w="4393" w:type="pct"/>
            <w:gridSpan w:val="7"/>
            <w:noWrap w:val="0"/>
            <w:tcMar>
              <w:top w:w="13" w:type="dxa"/>
              <w:left w:w="57" w:type="dxa"/>
              <w:bottom w:w="0" w:type="dxa"/>
              <w:right w:w="57" w:type="dxa"/>
            </w:tcMar>
            <w:vAlign w:val="center"/>
          </w:tcPr>
          <w:p w14:paraId="28D57560">
            <w:pPr>
              <w:rPr>
                <w:rFonts w:ascii="宋体" w:hAnsi="宋体" w:cs="宋体"/>
              </w:rPr>
            </w:pPr>
            <w:r>
              <w:rPr>
                <w:rFonts w:hint="eastAsia" w:ascii="宋体" w:hAnsi="宋体" w:cs="宋体"/>
              </w:rPr>
              <w:t>报</w:t>
            </w:r>
            <w:r>
              <w:rPr>
                <w:rFonts w:ascii="宋体" w:hAnsi="宋体" w:cs="宋体"/>
              </w:rPr>
              <w:t>价为采购人指定地点的现场</w:t>
            </w:r>
            <w:r>
              <w:rPr>
                <w:rFonts w:hint="eastAsia" w:ascii="宋体" w:hAnsi="宋体" w:cs="宋体"/>
              </w:rPr>
              <w:t>交付价格</w:t>
            </w:r>
            <w:r>
              <w:rPr>
                <w:rFonts w:ascii="宋体" w:hAnsi="宋体" w:cs="宋体"/>
              </w:rPr>
              <w:t>，包括但不限于：</w:t>
            </w:r>
          </w:p>
          <w:p w14:paraId="3ACFD6ED">
            <w:pPr>
              <w:rPr>
                <w:rFonts w:ascii="宋体" w:hAnsi="宋体" w:cs="宋体"/>
              </w:rPr>
            </w:pPr>
            <w:r>
              <w:rPr>
                <w:rFonts w:ascii="宋体" w:hAnsi="宋体" w:cs="宋体"/>
              </w:rPr>
              <w:t>1）</w:t>
            </w:r>
            <w:r>
              <w:rPr>
                <w:rFonts w:hint="eastAsia" w:ascii="宋体" w:hAnsi="宋体" w:cs="宋体"/>
              </w:rPr>
              <w:t>采购内容中所有</w:t>
            </w:r>
            <w:r>
              <w:rPr>
                <w:rFonts w:ascii="宋体" w:hAnsi="宋体" w:cs="宋体"/>
              </w:rPr>
              <w:t>货物</w:t>
            </w:r>
            <w:r>
              <w:rPr>
                <w:rFonts w:hint="eastAsia" w:ascii="宋体" w:hAnsi="宋体" w:cs="宋体"/>
              </w:rPr>
              <w:t>和</w:t>
            </w:r>
            <w:r>
              <w:rPr>
                <w:rFonts w:ascii="宋体" w:hAnsi="宋体" w:cs="宋体"/>
              </w:rPr>
              <w:t>服务的价格；</w:t>
            </w:r>
          </w:p>
          <w:p w14:paraId="020E3E98">
            <w:pPr>
              <w:rPr>
                <w:rFonts w:ascii="宋体" w:hAnsi="宋体" w:cs="宋体"/>
              </w:rPr>
            </w:pPr>
            <w:r>
              <w:rPr>
                <w:rFonts w:ascii="宋体" w:hAnsi="宋体" w:cs="宋体"/>
              </w:rPr>
              <w:t>2）货物的标准附件、备品备件、专用工具的价格；</w:t>
            </w:r>
          </w:p>
          <w:p w14:paraId="4E108498">
            <w:pPr>
              <w:rPr>
                <w:rFonts w:ascii="宋体" w:hAnsi="宋体" w:cs="宋体"/>
              </w:rPr>
            </w:pPr>
            <w:r>
              <w:rPr>
                <w:rFonts w:ascii="宋体" w:hAnsi="宋体" w:cs="宋体"/>
              </w:rPr>
              <w:t>3）运输、装卸、</w:t>
            </w:r>
            <w:r>
              <w:rPr>
                <w:rFonts w:hint="eastAsia" w:ascii="宋体" w:hAnsi="宋体" w:cs="宋体"/>
              </w:rPr>
              <w:t>安装（含安装材料）、</w:t>
            </w:r>
            <w:r>
              <w:rPr>
                <w:rFonts w:ascii="宋体" w:hAnsi="宋体" w:cs="宋体"/>
              </w:rPr>
              <w:t>调试、培训、技术支持、售后服务</w:t>
            </w:r>
            <w:r>
              <w:rPr>
                <w:rFonts w:hint="eastAsia" w:ascii="宋体" w:hAnsi="宋体" w:cs="宋体"/>
              </w:rPr>
              <w:t>的费用，</w:t>
            </w:r>
            <w:r>
              <w:rPr>
                <w:rFonts w:ascii="宋体" w:hAnsi="宋体" w:cs="宋体"/>
              </w:rPr>
              <w:t>质保期内免费</w:t>
            </w:r>
            <w:r>
              <w:rPr>
                <w:rFonts w:hint="eastAsia" w:ascii="宋体" w:hAnsi="宋体" w:cs="宋体"/>
              </w:rPr>
              <w:t>维修、养</w:t>
            </w:r>
            <w:r>
              <w:rPr>
                <w:rFonts w:ascii="宋体" w:hAnsi="宋体" w:cs="宋体"/>
              </w:rPr>
              <w:t>护</w:t>
            </w:r>
            <w:r>
              <w:rPr>
                <w:rFonts w:hint="eastAsia" w:ascii="宋体" w:hAnsi="宋体" w:cs="宋体"/>
              </w:rPr>
              <w:t>、软件升级</w:t>
            </w:r>
            <w:r>
              <w:rPr>
                <w:rFonts w:ascii="宋体" w:hAnsi="宋体" w:cs="宋体"/>
              </w:rPr>
              <w:t>等费用；</w:t>
            </w:r>
          </w:p>
          <w:p w14:paraId="0714E59E">
            <w:pPr>
              <w:rPr>
                <w:rFonts w:ascii="宋体" w:hAnsi="宋体" w:cs="宋体"/>
              </w:rPr>
            </w:pPr>
            <w:r>
              <w:rPr>
                <w:rFonts w:ascii="宋体" w:hAnsi="宋体" w:cs="宋体"/>
              </w:rPr>
              <w:t>4）必要的保险</w:t>
            </w:r>
            <w:r>
              <w:rPr>
                <w:rFonts w:hint="eastAsia" w:ascii="宋体" w:hAnsi="宋体" w:cs="宋体"/>
              </w:rPr>
              <w:t>、检测</w:t>
            </w:r>
            <w:r>
              <w:rPr>
                <w:rFonts w:ascii="宋体" w:hAnsi="宋体" w:cs="宋体"/>
              </w:rPr>
              <w:t>费用和各项税费</w:t>
            </w:r>
            <w:r>
              <w:rPr>
                <w:rFonts w:hint="eastAsia" w:ascii="宋体" w:hAnsi="宋体" w:cs="宋体"/>
              </w:rPr>
              <w:t>等。</w:t>
            </w:r>
          </w:p>
        </w:tc>
      </w:tr>
      <w:tr w14:paraId="172D7C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0E97E648">
            <w:pPr>
              <w:jc w:val="center"/>
              <w:rPr>
                <w:rFonts w:ascii="宋体" w:hAnsi="宋体"/>
                <w:b/>
                <w:bCs/>
                <w:color w:val="000000"/>
              </w:rPr>
            </w:pPr>
            <w:r>
              <w:rPr>
                <w:rFonts w:hint="eastAsia" w:ascii="宋体" w:hAnsi="宋体" w:cs="宋体"/>
                <w:b/>
                <w:bCs/>
              </w:rPr>
              <w:t>质保期</w:t>
            </w:r>
          </w:p>
        </w:tc>
        <w:tc>
          <w:tcPr>
            <w:tcW w:w="4393" w:type="pct"/>
            <w:gridSpan w:val="7"/>
            <w:noWrap w:val="0"/>
            <w:tcMar>
              <w:top w:w="13" w:type="dxa"/>
              <w:left w:w="57" w:type="dxa"/>
              <w:bottom w:w="0" w:type="dxa"/>
              <w:right w:w="57" w:type="dxa"/>
            </w:tcMar>
            <w:vAlign w:val="center"/>
          </w:tcPr>
          <w:p w14:paraId="489DB936">
            <w:pPr>
              <w:rPr>
                <w:rFonts w:ascii="宋体" w:hAnsi="宋体" w:cs="宋体"/>
              </w:rPr>
            </w:pPr>
            <w:r>
              <w:rPr>
                <w:rFonts w:ascii="宋体" w:hAnsi="宋体" w:cs="宋体"/>
                <w:b/>
              </w:rPr>
              <w:t>1.</w:t>
            </w:r>
            <w:r>
              <w:rPr>
                <w:rFonts w:hint="eastAsia" w:ascii="宋体" w:hAnsi="宋体" w:cs="宋体"/>
                <w:b/>
              </w:rPr>
              <w:t>质保期：</w:t>
            </w:r>
            <w:r>
              <w:rPr>
                <w:rFonts w:hint="eastAsia" w:ascii="宋体" w:hAnsi="宋体" w:cs="宋体"/>
                <w:b/>
                <w:highlight w:val="none"/>
                <w:u w:val="single"/>
                <w:lang w:val="en-US" w:eastAsia="zh-CN"/>
              </w:rPr>
              <w:t>5</w:t>
            </w:r>
            <w:bookmarkStart w:id="3" w:name="_GoBack"/>
            <w:bookmarkEnd w:id="3"/>
            <w:r>
              <w:rPr>
                <w:rFonts w:hint="eastAsia" w:ascii="宋体" w:hAnsi="宋体" w:cs="宋体"/>
                <w:b/>
                <w:highlight w:val="none"/>
                <w:u w:val="single"/>
                <w:lang w:val="en-US" w:eastAsia="zh-CN"/>
              </w:rPr>
              <w:t>年</w:t>
            </w:r>
            <w:r>
              <w:rPr>
                <w:rFonts w:hint="eastAsia" w:ascii="宋体" w:hAnsi="宋体" w:cs="宋体"/>
                <w:b/>
              </w:rPr>
              <w:t>。</w:t>
            </w:r>
            <w:r>
              <w:rPr>
                <w:rFonts w:hint="eastAsia" w:ascii="宋体" w:hAnsi="宋体" w:cs="宋体"/>
              </w:rPr>
              <w:t>（分项货物服务要求中有特别注明的，按特别注明的执行）</w:t>
            </w:r>
          </w:p>
          <w:p w14:paraId="14C9F8EB">
            <w:pPr>
              <w:rPr>
                <w:rFonts w:ascii="宋体" w:hAnsi="宋体"/>
                <w:color w:val="000000"/>
              </w:rPr>
            </w:pPr>
            <w:r>
              <w:rPr>
                <w:rFonts w:hint="eastAsia" w:ascii="宋体" w:hAnsi="宋体" w:cs="宋体"/>
              </w:rPr>
              <w:t>2.所有货物服务</w:t>
            </w:r>
            <w:r>
              <w:rPr>
                <w:rFonts w:ascii="宋体" w:hAnsi="宋体" w:cs="宋体"/>
              </w:rPr>
              <w:t>按</w:t>
            </w:r>
            <w:r>
              <w:rPr>
                <w:rFonts w:hint="eastAsia" w:ascii="宋体" w:hAnsi="宋体" w:cs="宋体"/>
              </w:rPr>
              <w:t>国家</w:t>
            </w:r>
            <w:r>
              <w:rPr>
                <w:rFonts w:ascii="宋体" w:hAnsi="宋体" w:cs="宋体"/>
              </w:rPr>
              <w:t>“三包”</w:t>
            </w:r>
            <w:r>
              <w:rPr>
                <w:rFonts w:hint="eastAsia" w:ascii="宋体" w:hAnsi="宋体" w:cs="宋体"/>
              </w:rPr>
              <w:t>有关</w:t>
            </w:r>
            <w:r>
              <w:rPr>
                <w:rFonts w:ascii="宋体" w:hAnsi="宋体" w:cs="宋体"/>
              </w:rPr>
              <w:t>规定执行“三包”</w:t>
            </w:r>
            <w:r>
              <w:rPr>
                <w:rFonts w:hint="eastAsia" w:ascii="宋体" w:hAnsi="宋体" w:cs="宋体"/>
              </w:rPr>
              <w:t>。质保期自交付验收合格之日起计算，质保期内提供上门维修、更换和软件升级服务；质保期结束后，提供终身维护，并优惠提供相关零配件。</w:t>
            </w:r>
          </w:p>
        </w:tc>
      </w:tr>
      <w:tr w14:paraId="4A9D92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5A015A9E">
            <w:pPr>
              <w:jc w:val="center"/>
              <w:rPr>
                <w:rFonts w:ascii="宋体" w:hAnsi="宋体" w:cs="宋体"/>
                <w:b/>
                <w:bCs/>
              </w:rPr>
            </w:pPr>
            <w:r>
              <w:rPr>
                <w:rFonts w:hint="eastAsia" w:ascii="宋体" w:hAnsi="宋体" w:cs="宋体"/>
                <w:b/>
                <w:bCs/>
              </w:rPr>
              <w:t>产品及售后服务要求</w:t>
            </w:r>
          </w:p>
        </w:tc>
        <w:tc>
          <w:tcPr>
            <w:tcW w:w="4393" w:type="pct"/>
            <w:gridSpan w:val="7"/>
            <w:noWrap w:val="0"/>
            <w:tcMar>
              <w:top w:w="13" w:type="dxa"/>
              <w:left w:w="57" w:type="dxa"/>
              <w:bottom w:w="0" w:type="dxa"/>
              <w:right w:w="57" w:type="dxa"/>
            </w:tcMar>
            <w:vAlign w:val="center"/>
          </w:tcPr>
          <w:p w14:paraId="4ECA9000">
            <w:pPr>
              <w:rPr>
                <w:rFonts w:ascii="宋体" w:hAnsi="宋体" w:cs="宋体"/>
              </w:rPr>
            </w:pPr>
            <w:r>
              <w:rPr>
                <w:rFonts w:ascii="宋体" w:hAnsi="宋体" w:cs="宋体"/>
              </w:rPr>
              <w:t>1.</w:t>
            </w:r>
            <w:r>
              <w:rPr>
                <w:rFonts w:hint="eastAsia" w:ascii="宋体" w:hAnsi="宋体" w:cs="宋体"/>
              </w:rPr>
              <w:t>成交人</w:t>
            </w:r>
            <w:r>
              <w:rPr>
                <w:rFonts w:ascii="宋体" w:hAnsi="宋体" w:cs="宋体"/>
              </w:rPr>
              <w:t>交付的所有</w:t>
            </w:r>
            <w:r>
              <w:rPr>
                <w:rFonts w:hint="eastAsia" w:ascii="宋体" w:hAnsi="宋体" w:cs="宋体"/>
                <w:b/>
              </w:rPr>
              <w:t>货物</w:t>
            </w:r>
            <w:r>
              <w:rPr>
                <w:rFonts w:ascii="宋体" w:hAnsi="宋体" w:cs="宋体"/>
              </w:rPr>
              <w:t>必须是签订合同之日</w:t>
            </w:r>
            <w:r>
              <w:rPr>
                <w:rFonts w:ascii="宋体" w:hAnsi="宋体" w:cs="宋体"/>
                <w:b/>
              </w:rPr>
              <w:t>前</w:t>
            </w:r>
            <w:r>
              <w:rPr>
                <w:rFonts w:hint="eastAsia" w:ascii="宋体" w:hAnsi="宋体" w:cs="宋体"/>
                <w:b/>
                <w:u w:val="single"/>
              </w:rPr>
              <w:t xml:space="preserve"> 半年 </w:t>
            </w:r>
            <w:r>
              <w:rPr>
                <w:rFonts w:ascii="宋体" w:hAnsi="宋体" w:cs="宋体"/>
              </w:rPr>
              <w:t>内生产的产品</w:t>
            </w:r>
            <w:r>
              <w:rPr>
                <w:rFonts w:hint="eastAsia" w:ascii="宋体" w:hAnsi="宋体" w:cs="宋体"/>
              </w:rPr>
              <w:t>，</w:t>
            </w:r>
            <w:r>
              <w:rPr>
                <w:rFonts w:ascii="宋体" w:hAnsi="宋体" w:cs="宋体"/>
              </w:rPr>
              <w:t>。</w:t>
            </w:r>
          </w:p>
          <w:p w14:paraId="590849F5">
            <w:pPr>
              <w:rPr>
                <w:rFonts w:ascii="宋体" w:hAnsi="宋体" w:cs="宋体"/>
                <w:b/>
              </w:rPr>
            </w:pPr>
            <w:r>
              <w:rPr>
                <w:rFonts w:hint="eastAsia" w:ascii="宋体" w:hAnsi="宋体" w:cs="宋体"/>
              </w:rPr>
              <w:t>2</w:t>
            </w:r>
            <w:r>
              <w:rPr>
                <w:rFonts w:ascii="宋体" w:hAnsi="宋体" w:cs="宋体"/>
              </w:rPr>
              <w:t>.</w:t>
            </w:r>
            <w:r>
              <w:rPr>
                <w:rFonts w:hint="eastAsia" w:ascii="宋体" w:hAnsi="宋体" w:cs="宋体"/>
              </w:rPr>
              <w:t>送货至采购人指定地点，协助进行安装场地设计，完成安装和调试。所有安装应符合国家、行业相关标准及规范。</w:t>
            </w:r>
            <w:r>
              <w:rPr>
                <w:rFonts w:hint="eastAsia" w:ascii="宋体" w:hAnsi="宋体" w:cs="宋体"/>
                <w:b/>
              </w:rPr>
              <w:t>（所有货物仅接受现场交付，不接受邮递）</w:t>
            </w:r>
          </w:p>
          <w:p w14:paraId="6B9667BB">
            <w:pPr>
              <w:rPr>
                <w:rFonts w:ascii="宋体" w:hAnsi="宋体" w:cs="宋体"/>
              </w:rPr>
            </w:pPr>
            <w:r>
              <w:rPr>
                <w:rFonts w:ascii="宋体" w:hAnsi="宋体" w:cs="宋体"/>
              </w:rPr>
              <w:t>3.为采购</w:t>
            </w:r>
            <w:r>
              <w:rPr>
                <w:rFonts w:hint="eastAsia" w:ascii="宋体" w:hAnsi="宋体" w:cs="宋体"/>
              </w:rPr>
              <w:t>人</w:t>
            </w:r>
            <w:r>
              <w:rPr>
                <w:rFonts w:ascii="宋体" w:hAnsi="宋体" w:cs="宋体"/>
              </w:rPr>
              <w:t>提供</w:t>
            </w:r>
            <w:r>
              <w:rPr>
                <w:rFonts w:hint="eastAsia" w:ascii="宋体" w:hAnsi="宋体" w:cs="宋体"/>
              </w:rPr>
              <w:t>产品</w:t>
            </w:r>
            <w:r>
              <w:rPr>
                <w:rFonts w:ascii="宋体" w:hAnsi="宋体" w:cs="宋体"/>
              </w:rPr>
              <w:t>操作</w:t>
            </w:r>
            <w:r>
              <w:rPr>
                <w:rFonts w:hint="eastAsia" w:ascii="宋体" w:hAnsi="宋体" w:cs="宋体"/>
              </w:rPr>
              <w:t>、维修、日常养护等方面的</w:t>
            </w:r>
            <w:r>
              <w:rPr>
                <w:rFonts w:ascii="宋体" w:hAnsi="宋体" w:cs="宋体"/>
              </w:rPr>
              <w:t>培训，确保</w:t>
            </w:r>
            <w:r>
              <w:rPr>
                <w:rFonts w:hint="eastAsia" w:ascii="宋体" w:hAnsi="宋体" w:cs="宋体"/>
              </w:rPr>
              <w:t>采购方使用人员</w:t>
            </w:r>
            <w:r>
              <w:rPr>
                <w:rFonts w:ascii="宋体" w:hAnsi="宋体" w:cs="宋体"/>
              </w:rPr>
              <w:t>能独立操作使用</w:t>
            </w:r>
            <w:r>
              <w:rPr>
                <w:rFonts w:hint="eastAsia" w:ascii="宋体" w:hAnsi="宋体" w:cs="宋体"/>
              </w:rPr>
              <w:t>，</w:t>
            </w:r>
            <w:r>
              <w:rPr>
                <w:rFonts w:ascii="宋体" w:hAnsi="宋体" w:cs="宋体"/>
              </w:rPr>
              <w:t>培训人数</w:t>
            </w:r>
            <w:r>
              <w:rPr>
                <w:rFonts w:hint="eastAsia" w:ascii="宋体" w:hAnsi="宋体" w:cs="宋体"/>
              </w:rPr>
              <w:t>、时间、地点等</w:t>
            </w:r>
            <w:r>
              <w:rPr>
                <w:rFonts w:ascii="宋体" w:hAnsi="宋体" w:cs="宋体"/>
              </w:rPr>
              <w:t>由采购</w:t>
            </w:r>
            <w:r>
              <w:rPr>
                <w:rFonts w:hint="eastAsia" w:ascii="宋体" w:hAnsi="宋体" w:cs="宋体"/>
              </w:rPr>
              <w:t>人指定</w:t>
            </w:r>
            <w:r>
              <w:rPr>
                <w:rFonts w:ascii="宋体" w:hAnsi="宋体" w:cs="宋体"/>
              </w:rPr>
              <w:t>。</w:t>
            </w:r>
          </w:p>
          <w:p w14:paraId="4FDCA367">
            <w:pPr>
              <w:rPr>
                <w:rFonts w:ascii="宋体" w:hAnsi="宋体" w:cs="宋体"/>
              </w:rPr>
            </w:pPr>
            <w:r>
              <w:rPr>
                <w:rFonts w:ascii="宋体" w:hAnsi="宋体" w:cs="宋体"/>
              </w:rPr>
              <w:t>4.故障响应时间：在使用过程中</w:t>
            </w:r>
            <w:r>
              <w:rPr>
                <w:rFonts w:hint="eastAsia" w:ascii="宋体" w:hAnsi="宋体" w:cs="宋体"/>
              </w:rPr>
              <w:t>出现</w:t>
            </w:r>
            <w:r>
              <w:rPr>
                <w:rFonts w:ascii="宋体" w:hAnsi="宋体" w:cs="宋体"/>
              </w:rPr>
              <w:t>质量问题，</w:t>
            </w:r>
            <w:r>
              <w:rPr>
                <w:rFonts w:hint="eastAsia" w:ascii="宋体" w:hAnsi="宋体" w:cs="宋体"/>
              </w:rPr>
              <w:t>成交人</w:t>
            </w:r>
            <w:r>
              <w:rPr>
                <w:rFonts w:ascii="宋体" w:hAnsi="宋体" w:cs="宋体"/>
              </w:rPr>
              <w:t>在接到</w:t>
            </w:r>
            <w:r>
              <w:rPr>
                <w:rFonts w:hint="eastAsia" w:ascii="宋体" w:hAnsi="宋体" w:cs="宋体"/>
              </w:rPr>
              <w:t>采购人</w:t>
            </w:r>
            <w:r>
              <w:rPr>
                <w:rFonts w:ascii="宋体" w:hAnsi="宋体" w:cs="宋体"/>
              </w:rPr>
              <w:t>通知后1小时</w:t>
            </w:r>
            <w:r>
              <w:rPr>
                <w:rFonts w:hint="eastAsia" w:ascii="宋体" w:hAnsi="宋体" w:cs="宋体"/>
              </w:rPr>
              <w:t>作出</w:t>
            </w:r>
            <w:r>
              <w:rPr>
                <w:rFonts w:ascii="宋体" w:hAnsi="宋体" w:cs="宋体"/>
              </w:rPr>
              <w:t>响应</w:t>
            </w:r>
            <w:r>
              <w:rPr>
                <w:rFonts w:hint="eastAsia" w:ascii="宋体" w:hAnsi="宋体" w:cs="宋体"/>
              </w:rPr>
              <w:t>；如需到达现场解决的，在</w:t>
            </w:r>
            <w:r>
              <w:rPr>
                <w:rFonts w:ascii="宋体" w:hAnsi="宋体" w:cs="宋体"/>
              </w:rPr>
              <w:t>8小时内</w:t>
            </w:r>
            <w:r>
              <w:rPr>
                <w:rFonts w:hint="eastAsia" w:ascii="宋体" w:hAnsi="宋体" w:cs="宋体"/>
              </w:rPr>
              <w:t>应</w:t>
            </w:r>
            <w:r>
              <w:rPr>
                <w:rFonts w:ascii="宋体" w:hAnsi="宋体" w:cs="宋体"/>
              </w:rPr>
              <w:t>到达现场。</w:t>
            </w:r>
          </w:p>
          <w:p w14:paraId="27CCD28C">
            <w:pPr>
              <w:rPr>
                <w:rFonts w:ascii="宋体" w:hAnsi="宋体" w:cs="宋体"/>
              </w:rPr>
            </w:pPr>
            <w:r>
              <w:rPr>
                <w:rFonts w:ascii="宋体" w:hAnsi="宋体" w:cs="宋体"/>
              </w:rPr>
              <w:t>5.</w:t>
            </w:r>
            <w:r>
              <w:rPr>
                <w:rFonts w:hint="eastAsia" w:ascii="宋体" w:hAnsi="宋体" w:cs="宋体"/>
              </w:rPr>
              <w:t>成交人须遵守校园出入规定，在供货、安装过程中确保相关人员安全。</w:t>
            </w:r>
            <w:r>
              <w:rPr>
                <w:rFonts w:ascii="宋体" w:hAnsi="宋体" w:cs="宋体"/>
              </w:rPr>
              <w:t>供货</w:t>
            </w:r>
            <w:r>
              <w:rPr>
                <w:rFonts w:hint="eastAsia" w:ascii="宋体" w:hAnsi="宋体" w:cs="宋体"/>
              </w:rPr>
              <w:t>、</w:t>
            </w:r>
            <w:r>
              <w:rPr>
                <w:rFonts w:ascii="宋体" w:hAnsi="宋体" w:cs="宋体"/>
              </w:rPr>
              <w:t>安装过程中产生的残留物或垃圾，</w:t>
            </w:r>
            <w:r>
              <w:rPr>
                <w:rFonts w:hint="eastAsia" w:ascii="宋体" w:hAnsi="宋体" w:cs="宋体"/>
              </w:rPr>
              <w:t>成交人需</w:t>
            </w:r>
            <w:r>
              <w:rPr>
                <w:rFonts w:ascii="宋体" w:hAnsi="宋体" w:cs="宋体"/>
              </w:rPr>
              <w:t>自行清理至校外。</w:t>
            </w:r>
          </w:p>
        </w:tc>
      </w:tr>
      <w:tr w14:paraId="130782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606" w:type="pct"/>
            <w:gridSpan w:val="2"/>
            <w:noWrap w:val="0"/>
            <w:tcMar>
              <w:top w:w="13" w:type="dxa"/>
              <w:left w:w="57" w:type="dxa"/>
              <w:bottom w:w="0" w:type="dxa"/>
              <w:right w:w="57" w:type="dxa"/>
            </w:tcMar>
            <w:vAlign w:val="center"/>
          </w:tcPr>
          <w:p w14:paraId="76D4E804">
            <w:pPr>
              <w:jc w:val="center"/>
              <w:rPr>
                <w:rFonts w:ascii="宋体" w:hAnsi="宋体"/>
                <w:b/>
                <w:bCs/>
                <w:color w:val="000000"/>
              </w:rPr>
            </w:pPr>
            <w:r>
              <w:rPr>
                <w:rFonts w:hint="eastAsia" w:ascii="宋体" w:hAnsi="宋体" w:cs="宋体"/>
                <w:b/>
                <w:bCs/>
              </w:rPr>
              <w:t>交付时间</w:t>
            </w:r>
          </w:p>
        </w:tc>
        <w:tc>
          <w:tcPr>
            <w:tcW w:w="4393" w:type="pct"/>
            <w:gridSpan w:val="7"/>
            <w:noWrap w:val="0"/>
            <w:tcMar>
              <w:top w:w="13" w:type="dxa"/>
              <w:left w:w="57" w:type="dxa"/>
              <w:bottom w:w="0" w:type="dxa"/>
              <w:right w:w="57" w:type="dxa"/>
            </w:tcMar>
            <w:vAlign w:val="center"/>
          </w:tcPr>
          <w:p w14:paraId="7B72BEAF">
            <w:pPr>
              <w:rPr>
                <w:rFonts w:ascii="宋体" w:hAnsi="宋体" w:cs="宋体"/>
                <w:spacing w:val="-2"/>
              </w:rPr>
            </w:pPr>
            <w:r>
              <w:rPr>
                <w:rFonts w:ascii="宋体" w:hAnsi="宋体" w:cs="宋体"/>
                <w:spacing w:val="-2"/>
              </w:rPr>
              <w:t>1.交</w:t>
            </w:r>
            <w:r>
              <w:rPr>
                <w:rFonts w:hint="eastAsia" w:ascii="宋体" w:hAnsi="宋体" w:cs="宋体"/>
                <w:spacing w:val="-2"/>
              </w:rPr>
              <w:t>付</w:t>
            </w:r>
            <w:r>
              <w:rPr>
                <w:rFonts w:ascii="宋体" w:hAnsi="宋体" w:cs="宋体"/>
                <w:spacing w:val="-2"/>
              </w:rPr>
              <w:t>时间：自签订合同之日起</w:t>
            </w:r>
            <w:r>
              <w:rPr>
                <w:rFonts w:hint="eastAsia" w:ascii="宋体" w:hAnsi="宋体" w:cs="宋体"/>
                <w:b/>
                <w:spacing w:val="-2"/>
                <w:u w:val="single"/>
              </w:rPr>
              <w:t xml:space="preserve">    </w:t>
            </w:r>
            <w:r>
              <w:rPr>
                <w:rFonts w:hint="eastAsia" w:ascii="宋体" w:hAnsi="宋体" w:cs="宋体"/>
                <w:b/>
                <w:spacing w:val="-2"/>
                <w:u w:val="single"/>
                <w:lang w:val="en-US" w:eastAsia="zh-CN"/>
              </w:rPr>
              <w:t>3</w:t>
            </w:r>
            <w:r>
              <w:rPr>
                <w:rFonts w:hint="eastAsia" w:ascii="宋体" w:hAnsi="宋体" w:cs="宋体"/>
                <w:b/>
                <w:spacing w:val="-2"/>
                <w:u w:val="single"/>
              </w:rPr>
              <w:t xml:space="preserve">0日内   </w:t>
            </w:r>
            <w:r>
              <w:rPr>
                <w:rFonts w:hint="eastAsia" w:ascii="宋体" w:hAnsi="宋体" w:cs="宋体"/>
                <w:spacing w:val="-2"/>
              </w:rPr>
              <w:t>全部交付完成并验收合格。</w:t>
            </w:r>
          </w:p>
          <w:p w14:paraId="076CC482">
            <w:pPr>
              <w:rPr>
                <w:rFonts w:ascii="宋体" w:hAnsi="宋体"/>
                <w:color w:val="000000"/>
              </w:rPr>
            </w:pPr>
            <w:r>
              <w:rPr>
                <w:rFonts w:ascii="宋体" w:hAnsi="宋体" w:cs="宋体"/>
              </w:rPr>
              <w:t>2.交</w:t>
            </w:r>
            <w:r>
              <w:rPr>
                <w:rFonts w:hint="eastAsia" w:ascii="宋体" w:hAnsi="宋体" w:cs="宋体"/>
              </w:rPr>
              <w:t>付</w:t>
            </w:r>
            <w:r>
              <w:rPr>
                <w:rFonts w:ascii="宋体" w:hAnsi="宋体" w:cs="宋体"/>
              </w:rPr>
              <w:t>地点：广西</w:t>
            </w:r>
            <w:r>
              <w:rPr>
                <w:rFonts w:hint="eastAsia" w:ascii="宋体" w:hAnsi="宋体" w:cs="宋体"/>
                <w:lang w:val="en-US" w:eastAsia="zh-CN"/>
              </w:rPr>
              <w:t>中医药</w:t>
            </w:r>
            <w:r>
              <w:rPr>
                <w:rFonts w:hint="eastAsia" w:ascii="宋体" w:hAnsi="宋体" w:cs="宋体"/>
              </w:rPr>
              <w:t>大学</w:t>
            </w:r>
            <w:r>
              <w:rPr>
                <w:rFonts w:ascii="宋体" w:hAnsi="宋体" w:cs="宋体"/>
              </w:rPr>
              <w:t>。</w:t>
            </w:r>
          </w:p>
        </w:tc>
      </w:tr>
      <w:tr w14:paraId="211F21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E83248E">
            <w:pPr>
              <w:rPr>
                <w:rFonts w:ascii="宋体" w:hAnsi="宋体" w:cs="宋体"/>
              </w:rPr>
            </w:pPr>
            <w:r>
              <w:rPr>
                <w:rFonts w:hint="eastAsia" w:ascii="宋体" w:hAnsi="宋体"/>
                <w:b/>
                <w:bCs/>
                <w:color w:val="000000"/>
              </w:rPr>
              <w:t>三、其它要求</w:t>
            </w:r>
          </w:p>
        </w:tc>
      </w:tr>
      <w:tr w14:paraId="6FC1E2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0" w:type="dxa"/>
            <w:bottom w:w="0" w:type="dxa"/>
            <w:right w:w="0" w:type="dxa"/>
          </w:tblCellMar>
        </w:tblPrEx>
        <w:trPr>
          <w:trHeight w:val="498" w:hRule="atLeast"/>
          <w:jc w:val="center"/>
        </w:trPr>
        <w:tc>
          <w:tcPr>
            <w:tcW w:w="5000" w:type="pct"/>
            <w:gridSpan w:val="9"/>
            <w:noWrap w:val="0"/>
            <w:tcMar>
              <w:top w:w="13" w:type="dxa"/>
              <w:left w:w="57" w:type="dxa"/>
              <w:bottom w:w="0" w:type="dxa"/>
              <w:right w:w="57" w:type="dxa"/>
            </w:tcMar>
            <w:vAlign w:val="center"/>
          </w:tcPr>
          <w:p w14:paraId="562D8478">
            <w:pPr>
              <w:rPr>
                <w:rFonts w:ascii="宋体" w:hAnsi="宋体" w:cs="宋体"/>
              </w:rPr>
            </w:pPr>
            <w:r>
              <w:rPr>
                <w:rFonts w:hint="eastAsia" w:ascii="宋体" w:hAnsi="宋体" w:cs="宋体"/>
                <w:color w:val="FF0000"/>
              </w:rPr>
              <w:t>（填写其他补充事项）</w:t>
            </w:r>
          </w:p>
        </w:tc>
      </w:tr>
    </w:tbl>
    <w:p w14:paraId="21ACB7AD">
      <w:pPr>
        <w:rPr>
          <w:rFonts w:ascii="宋体" w:hAnsi="宋体" w:cs="仿宋"/>
          <w:bCs/>
          <w:color w:val="000000"/>
        </w:rPr>
      </w:pPr>
      <w:r>
        <w:rPr>
          <w:rFonts w:hint="eastAsia" w:ascii="宋体" w:hAnsi="宋体" w:cs="仿宋"/>
          <w:color w:val="000000"/>
          <w:sz w:val="18"/>
        </w:rPr>
        <w:t>注：所有价格均用人民币表示，单位为元，精确到小数点后两位。</w:t>
      </w:r>
    </w:p>
    <w:p w14:paraId="5E27CFD2">
      <w:pPr>
        <w:spacing w:line="460" w:lineRule="exact"/>
        <w:rPr>
          <w:rFonts w:ascii="宋体" w:hAnsi="宋体" w:cs="仿宋"/>
          <w:bCs/>
          <w:color w:val="000000"/>
        </w:rPr>
      </w:pPr>
    </w:p>
    <w:p w14:paraId="01860F6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供应商全称：</w:t>
      </w:r>
      <w:r>
        <w:rPr>
          <w:rFonts w:hint="eastAsia" w:ascii="宋体" w:hAnsi="宋体" w:cs="宋体"/>
          <w:sz w:val="28"/>
          <w:szCs w:val="28"/>
          <w:u w:val="single"/>
        </w:rPr>
        <w:t xml:space="preserve">                         </w:t>
      </w:r>
      <w:r>
        <w:rPr>
          <w:rFonts w:hint="eastAsia" w:ascii="宋体" w:hAnsi="宋体" w:cs="宋体"/>
          <w:sz w:val="28"/>
          <w:szCs w:val="28"/>
        </w:rPr>
        <w:t>（公章）</w:t>
      </w:r>
    </w:p>
    <w:p w14:paraId="56DFAB6F">
      <w:pPr>
        <w:spacing w:line="360" w:lineRule="auto"/>
        <w:ind w:left="10" w:leftChars="5" w:firstLine="554" w:firstLineChars="198"/>
        <w:rPr>
          <w:rFonts w:ascii="宋体" w:hAnsi="宋体" w:cs="宋体"/>
          <w:sz w:val="28"/>
          <w:szCs w:val="28"/>
        </w:rPr>
      </w:pPr>
      <w:r>
        <w:rPr>
          <w:rFonts w:hint="eastAsia" w:ascii="宋体" w:hAnsi="宋体" w:cs="宋体"/>
          <w:sz w:val="28"/>
          <w:szCs w:val="28"/>
        </w:rPr>
        <w:t>法定代表人或委托代理人：</w:t>
      </w:r>
      <w:r>
        <w:rPr>
          <w:rFonts w:hint="eastAsia" w:ascii="宋体" w:hAnsi="宋体" w:cs="宋体"/>
          <w:sz w:val="28"/>
          <w:szCs w:val="28"/>
          <w:u w:val="single"/>
        </w:rPr>
        <w:t xml:space="preserve">             </w:t>
      </w:r>
      <w:r>
        <w:rPr>
          <w:rFonts w:hint="eastAsia" w:ascii="宋体" w:hAnsi="宋体" w:cs="宋体"/>
          <w:sz w:val="28"/>
          <w:szCs w:val="28"/>
        </w:rPr>
        <w:t>（签字或签章）</w:t>
      </w:r>
    </w:p>
    <w:p w14:paraId="6D916B5E">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供应商地址：</w:t>
      </w:r>
      <w:r>
        <w:rPr>
          <w:rFonts w:hint="eastAsia" w:ascii="宋体" w:hAnsi="宋体" w:cs="宋体"/>
          <w:sz w:val="28"/>
          <w:szCs w:val="28"/>
          <w:u w:val="single"/>
        </w:rPr>
        <w:tab/>
      </w:r>
      <w:r>
        <w:rPr>
          <w:rFonts w:hint="eastAsia" w:ascii="宋体" w:hAnsi="宋体" w:cs="宋体"/>
          <w:sz w:val="28"/>
          <w:szCs w:val="28"/>
          <w:u w:val="single"/>
        </w:rPr>
        <w:t xml:space="preserve">   </w:t>
      </w:r>
      <w:r>
        <w:rPr>
          <w:rFonts w:ascii="宋体" w:hAnsi="宋体" w:cs="宋体"/>
          <w:sz w:val="28"/>
          <w:szCs w:val="28"/>
          <w:u w:val="single"/>
        </w:rPr>
        <w:t xml:space="preserve">                    </w:t>
      </w:r>
    </w:p>
    <w:p w14:paraId="335B2FE3">
      <w:pPr>
        <w:spacing w:line="360" w:lineRule="auto"/>
        <w:ind w:left="10" w:leftChars="5" w:firstLine="554" w:firstLineChars="198"/>
        <w:rPr>
          <w:rFonts w:ascii="宋体" w:hAnsi="宋体" w:cs="宋体"/>
          <w:sz w:val="28"/>
          <w:szCs w:val="28"/>
        </w:rPr>
      </w:pPr>
      <w:r>
        <w:rPr>
          <w:rFonts w:hint="eastAsia" w:ascii="宋体" w:hAnsi="宋体" w:cs="宋体"/>
          <w:sz w:val="28"/>
          <w:szCs w:val="28"/>
        </w:rPr>
        <w:t>供应商联系方式：</w:t>
      </w:r>
      <w:r>
        <w:rPr>
          <w:rFonts w:ascii="宋体" w:hAnsi="宋体" w:cs="宋体"/>
          <w:sz w:val="28"/>
          <w:szCs w:val="28"/>
          <w:u w:val="single"/>
        </w:rPr>
        <w:t xml:space="preserve">     </w:t>
      </w:r>
      <w:r>
        <w:rPr>
          <w:rFonts w:hint="eastAsia" w:ascii="宋体" w:hAnsi="宋体" w:cs="宋体"/>
          <w:sz w:val="28"/>
          <w:szCs w:val="28"/>
          <w:u w:val="single"/>
        </w:rPr>
        <w:t xml:space="preserve">                </w:t>
      </w:r>
      <w:r>
        <w:rPr>
          <w:rFonts w:ascii="宋体" w:hAnsi="宋体" w:cs="宋体"/>
          <w:sz w:val="28"/>
          <w:szCs w:val="28"/>
          <w:u w:val="single"/>
        </w:rPr>
        <w:t xml:space="preserve"> </w:t>
      </w:r>
      <w:r>
        <w:rPr>
          <w:rFonts w:hint="eastAsia" w:ascii="宋体" w:hAnsi="宋体" w:cs="宋体"/>
          <w:sz w:val="28"/>
          <w:szCs w:val="28"/>
        </w:rPr>
        <w:t>（联系人、联系电话）</w:t>
      </w:r>
    </w:p>
    <w:p w14:paraId="0395909A">
      <w:pPr>
        <w:spacing w:line="360" w:lineRule="auto"/>
        <w:rPr>
          <w:rFonts w:ascii="宋体" w:hAnsi="宋体" w:cs="宋体"/>
          <w:sz w:val="28"/>
          <w:szCs w:val="28"/>
        </w:rPr>
      </w:pPr>
    </w:p>
    <w:p w14:paraId="32932B66">
      <w:pPr>
        <w:spacing w:line="360" w:lineRule="auto"/>
        <w:ind w:left="10" w:leftChars="1" w:hanging="8" w:hangingChars="3"/>
        <w:jc w:val="center"/>
      </w:pPr>
      <w:r>
        <w:rPr>
          <w:rFonts w:hint="eastAsia" w:ascii="宋体" w:hAnsi="宋体" w:cs="宋体"/>
          <w:sz w:val="28"/>
          <w:szCs w:val="28"/>
        </w:rPr>
        <w:t>日期：</w:t>
      </w:r>
      <w:r>
        <w:rPr>
          <w:rFonts w:hint="eastAsia" w:ascii="宋体" w:hAnsi="宋体" w:cs="宋体"/>
          <w:sz w:val="28"/>
          <w:szCs w:val="28"/>
          <w:u w:val="single"/>
        </w:rPr>
        <w:t xml:space="preserve">     </w:t>
      </w:r>
      <w:r>
        <w:rPr>
          <w:rFonts w:hint="eastAsia" w:ascii="宋体" w:hAnsi="宋体" w:cs="宋体"/>
          <w:sz w:val="28"/>
          <w:szCs w:val="28"/>
        </w:rPr>
        <w:t>年</w:t>
      </w:r>
      <w:r>
        <w:rPr>
          <w:rFonts w:hint="eastAsia" w:ascii="宋体" w:hAnsi="宋体" w:cs="宋体"/>
          <w:sz w:val="28"/>
          <w:szCs w:val="28"/>
          <w:u w:val="single"/>
        </w:rPr>
        <w:t xml:space="preserve">    </w:t>
      </w:r>
      <w:r>
        <w:rPr>
          <w:rFonts w:hint="eastAsia" w:ascii="宋体" w:hAnsi="宋体" w:cs="宋体"/>
          <w:sz w:val="28"/>
          <w:szCs w:val="28"/>
        </w:rPr>
        <w:t>月</w:t>
      </w:r>
      <w:r>
        <w:rPr>
          <w:rFonts w:hint="eastAsia" w:ascii="宋体" w:hAnsi="宋体" w:cs="宋体"/>
          <w:sz w:val="28"/>
          <w:szCs w:val="28"/>
          <w:u w:val="single"/>
        </w:rPr>
        <w:t xml:space="preserve">    </w:t>
      </w:r>
      <w:r>
        <w:rPr>
          <w:rFonts w:hint="eastAsia" w:ascii="宋体" w:hAnsi="宋体" w:cs="宋体"/>
          <w:sz w:val="28"/>
          <w:szCs w:val="28"/>
        </w:rPr>
        <w:t>日</w:t>
      </w:r>
    </w:p>
    <w:p w14:paraId="2A60D885">
      <w:pPr>
        <w:pStyle w:val="2"/>
        <w:keepNext w:val="0"/>
        <w:keepLines w:val="0"/>
        <w:widowControl/>
        <w:suppressLineNumbers w:val="0"/>
        <w:spacing w:line="420" w:lineRule="atLeast"/>
        <w:jc w:val="left"/>
        <w:rPr>
          <w:rFonts w:hint="eastAsia" w:ascii="微软雅黑" w:hAnsi="微软雅黑" w:eastAsia="微软雅黑" w:cs="微软雅黑"/>
          <w:i w:val="0"/>
          <w:iCs w:val="0"/>
          <w:caps w:val="0"/>
          <w:color w:val="000000"/>
          <w:spacing w:val="0"/>
          <w:sz w:val="24"/>
          <w:szCs w:val="24"/>
        </w:rPr>
      </w:pPr>
    </w:p>
    <w:p w14:paraId="5E59CFAF"/>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0EAA193"/>
    <w:multiLevelType w:val="singleLevel"/>
    <w:tmpl w:val="50EAA193"/>
    <w:lvl w:ilvl="0" w:tentative="0">
      <w:start w:val="1"/>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5D65498"/>
    <w:rsid w:val="03420E7B"/>
    <w:rsid w:val="083A0C0C"/>
    <w:rsid w:val="09A1725A"/>
    <w:rsid w:val="13623FB2"/>
    <w:rsid w:val="221A36F4"/>
    <w:rsid w:val="25D65498"/>
    <w:rsid w:val="25F42B99"/>
    <w:rsid w:val="346858E8"/>
    <w:rsid w:val="36E235B7"/>
    <w:rsid w:val="3B6C16D9"/>
    <w:rsid w:val="486B3145"/>
    <w:rsid w:val="4F311AFC"/>
    <w:rsid w:val="65861AE8"/>
    <w:rsid w:val="6C2C415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Emphasis"/>
    <w:basedOn w:val="4"/>
    <w:qFormat/>
    <w:uiPriority w:val="0"/>
    <w:rPr>
      <w:i/>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5</Pages>
  <Words>2230</Words>
  <Characters>2788</Characters>
  <Lines>0</Lines>
  <Paragraphs>0</Paragraphs>
  <TotalTime>2</TotalTime>
  <ScaleCrop>false</ScaleCrop>
  <LinksUpToDate>false</LinksUpToDate>
  <CharactersWithSpaces>3211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2025-06-13T09:20:00Z</dcterms:created>
  <dc:creator>文军</dc:creator>
  <cp:lastModifiedBy>一次心</cp:lastModifiedBy>
  <dcterms:modified xsi:type="dcterms:W3CDTF">2026-03-09T13:38:57Z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87B5EEB113BC46FB97D3FC1E80A38779_13</vt:lpwstr>
  </property>
  <property fmtid="{D5CDD505-2E9C-101B-9397-08002B2CF9AE}" pid="4" name="KSOTemplateDocerSaveRecord">
    <vt:lpwstr>eyJoZGlkIjoiMjcxMDljNjJjYWRmNTRhNzE4ZWE5ZGY2ZDExY2EyOTEiLCJ1c2VySWQiOiI0Mjc1NTAxODIifQ==</vt:lpwstr>
  </property>
</Properties>
</file>