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485A4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    附件： </w:t>
      </w:r>
    </w:p>
    <w:p w14:paraId="1FD8185A">
      <w:pPr>
        <w:widowControl/>
        <w:spacing w:line="460" w:lineRule="exact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需求征集明细表</w:t>
      </w:r>
    </w:p>
    <w:tbl>
      <w:tblPr>
        <w:tblStyle w:val="3"/>
        <w:tblpPr w:leftFromText="180" w:rightFromText="180" w:vertAnchor="text" w:horzAnchor="page" w:tblpXSpec="center" w:tblpY="469"/>
        <w:tblOverlap w:val="never"/>
        <w:tblW w:w="51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96"/>
        <w:gridCol w:w="345"/>
        <w:gridCol w:w="1290"/>
        <w:gridCol w:w="3064"/>
        <w:gridCol w:w="540"/>
        <w:gridCol w:w="540"/>
        <w:gridCol w:w="865"/>
        <w:gridCol w:w="931"/>
      </w:tblGrid>
      <w:tr w14:paraId="53E8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6758FD">
            <w:pPr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一、技术要求</w:t>
            </w:r>
          </w:p>
        </w:tc>
      </w:tr>
      <w:tr w14:paraId="2310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3265CC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DE5EFD8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采购内容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DB1791C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品牌型号、生产厂家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D71BA5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技术参数</w:t>
            </w:r>
          </w:p>
        </w:tc>
        <w:tc>
          <w:tcPr>
            <w:tcW w:w="313" w:type="pct"/>
            <w:noWrap w:val="0"/>
            <w:vAlign w:val="center"/>
          </w:tcPr>
          <w:p w14:paraId="76C6C11B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计量</w:t>
            </w:r>
          </w:p>
          <w:p w14:paraId="371418A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单位</w:t>
            </w:r>
          </w:p>
        </w:tc>
        <w:tc>
          <w:tcPr>
            <w:tcW w:w="313" w:type="pct"/>
            <w:noWrap w:val="0"/>
            <w:vAlign w:val="center"/>
          </w:tcPr>
          <w:p w14:paraId="30B0098B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501" w:type="pct"/>
            <w:noWrap w:val="0"/>
            <w:vAlign w:val="center"/>
          </w:tcPr>
          <w:p w14:paraId="0409E966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单价</w:t>
            </w:r>
          </w:p>
          <w:p w14:paraId="359650E4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  <w:tc>
          <w:tcPr>
            <w:tcW w:w="539" w:type="pct"/>
            <w:noWrap w:val="0"/>
            <w:vAlign w:val="center"/>
          </w:tcPr>
          <w:p w14:paraId="5B55DA05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小计</w:t>
            </w:r>
          </w:p>
          <w:p w14:paraId="49C0784D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</w:tr>
      <w:tr w14:paraId="3B69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9221303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bookmarkStart w:id="0" w:name="OLE_LINK6" w:colFirst="1" w:colLast="69"/>
            <w:bookmarkStart w:id="1" w:name="_Hlk199951007"/>
            <w:bookmarkStart w:id="2" w:name="OLE_LINK5" w:colFirst="1" w:colLast="69"/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0B9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全光谱流式细胞分析系统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7698C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Bruke/tims TOF Pro2</w:t>
            </w:r>
          </w:p>
          <w:p w14:paraId="0A3143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Waters/Select Series Cyclic </w:t>
            </w:r>
          </w:p>
          <w:p w14:paraId="01D011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Thermo Fisher/Orbitrap Exploris 240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0826E1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1. 流式主机参数： </w:t>
            </w:r>
          </w:p>
          <w:p w14:paraId="5B9E34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▲1.1配备≥五根固态激光器350±5nm(≥60mw)，405nm(≥200mw)，488nm(≥150mw)，561nm(≥150mw)，637±5nm(≥140mw)，不小于48个荧光探测器和≥2个散射光探测器。</w:t>
            </w:r>
          </w:p>
          <w:p w14:paraId="4AD9A8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 光路：5激光立体空间激发方式，至少实现48色荧光同时分析。</w:t>
            </w:r>
          </w:p>
          <w:p w14:paraId="63937E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 电子系统类型：超低噪VPX电子系统，确保极低含量样本有效检出。</w:t>
            </w:r>
          </w:p>
          <w:p w14:paraId="6353C4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▲1.4检测器类型：配备高性能独立光电倍增管（Photomultiplier）检测器，完成对单激光器十四个甚至更多的光信号的收集，检测器配置可单独灵活更换，无需成套更换。</w:t>
            </w:r>
          </w:p>
          <w:p w14:paraId="40EAB3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▲1.5 光电倍增管电压（非增益）可调范围：1-999V，以保证检测灵敏度和稳定性，及微弱荧光和高强荧光可同时分析。（需提供佐证材料包括不限于制造商印制的彩页、具有检测资质的机构出具的检测报告等）。</w:t>
            </w:r>
          </w:p>
          <w:p w14:paraId="044E99A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1.6 分辨率：PI标记鸡红细胞核，G0/G1期全峰宽CV&lt;3%。</w:t>
            </w:r>
          </w:p>
          <w:p w14:paraId="383500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1.7 荧光检测灵敏度：FITC≤80MESF，PE≤20MESF，APC≤70MESF。</w:t>
            </w:r>
          </w:p>
          <w:p w14:paraId="718C4F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1.8 样本获取速度：≥40,000个细胞/秒。</w:t>
            </w:r>
          </w:p>
          <w:p w14:paraId="2154B2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1.9 检测颗粒大小： 0.5-50um 。</w:t>
            </w:r>
          </w:p>
          <w:p w14:paraId="0FB4BF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1.10进样针自动清洗系统：换样时自动清洗进样针内的残余样本，避免样本之间的交叉污染，交叉污染率&lt;0.5%。</w:t>
            </w:r>
          </w:p>
          <w:p w14:paraId="7C6952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▲1.11同时搭载补偿算法和光谱算法：机器软件具备多色荧光补偿功能和自动光谱解析功能，并能同时实时切换。</w:t>
            </w:r>
          </w:p>
          <w:p w14:paraId="1A25F6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▲1.12液流动力：液流由气压泵驱动正压上样方式，非蠕动泵或注射泵方式，无需更换管路，液路稳定。</w:t>
            </w:r>
          </w:p>
          <w:p w14:paraId="72D4F0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1.13液流模式：高速、中速、低速、高灵敏度模式。</w:t>
            </w:r>
          </w:p>
          <w:p w14:paraId="24CC6F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1.14配备独立的≥10L鞘液桶及≥10L废液桶。</w:t>
            </w:r>
          </w:p>
          <w:p w14:paraId="58CFB9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1.15石英流动室：内部横截面积为 ≥430 x 180 µm，外表面有抗反射涂层，可实现最佳激光传输。</w:t>
            </w:r>
          </w:p>
          <w:p w14:paraId="388349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1.16上样管类型：标准流式管上样。</w:t>
            </w:r>
          </w:p>
          <w:p w14:paraId="142308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2.数据分析。</w:t>
            </w:r>
          </w:p>
          <w:p w14:paraId="2604B1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2.1高维多参数光谱细胞分析系统仪工作站、数据采集及分析软件。</w:t>
            </w:r>
          </w:p>
          <w:p w14:paraId="0B57CC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2.2使用全数字信号系统，用户界面直观易掌握，将仪器设置、质量控制、数据分析和管理均置于软件控制之下，具备自动延迟时间校准功能。</w:t>
            </w:r>
          </w:p>
          <w:p w14:paraId="773018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2.3软件可独立控制每个激光器开启关闭及调整激光器功率。</w:t>
            </w:r>
          </w:p>
          <w:p w14:paraId="51F76EF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2.4软件能以任意参数或任意参数的逻辑运算作为阈值设定条件，有效的排除杂信号，无效信号的干扰。</w:t>
            </w:r>
          </w:p>
          <w:p w14:paraId="125547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2.5软件具备多用户模式，保护研究者数据私密性。</w:t>
            </w:r>
          </w:p>
          <w:p w14:paraId="4E1D2E6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2.6软件采用多层级数据管理模式，方便不同实验室数据管理。</w:t>
            </w:r>
          </w:p>
          <w:p w14:paraId="6AA1E3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2.7软件可设置网格，方便调整流式图形大小及位置的一致性。</w:t>
            </w:r>
          </w:p>
          <w:p w14:paraId="77DCDA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2.8软件同时具备手动设门工具和自动设门工具。</w:t>
            </w:r>
          </w:p>
          <w:p w14:paraId="4C8591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2.9脉冲处理系统:能同时分析脉冲信号峰值高度、脉冲积分（面积）及脉冲宽度,用脉冲宽度和面积区分双连体细胞（如假四倍体细胞）。</w:t>
            </w:r>
          </w:p>
          <w:p w14:paraId="142127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2.10用户可利用散点图，密度图，等高线图，柱状图分析数据，图像可以任意放大缩小，不同文件的图像可以叠加在一起。</w:t>
            </w:r>
          </w:p>
          <w:p w14:paraId="715FB8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2.11准确报告仪器性能基线，仪器性能追踪（20点质控图），自动调整电压、激光参数，提高仪器设置的精确性，保证不同时间检测数据的一致性。保证数据的精确性，有效保证仪器的状态，及实验的时间连续性和室间稳定性，不同时间实验的重复性、可比性。</w:t>
            </w:r>
          </w:p>
          <w:p w14:paraId="5ADD93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3.配备数据处理用电脑（主流品牌机）：配置不低于：≥34英寸显示屏；处理器 Intel core i7或更高；内存：≥16GB；硬盘：≥1TB数据存储空间；Windows操作系统。                                                                                                                        4.细胞分析系统：提供机器，试剂耗材及分析软件全套解决方案，用户可以定制化靶向检测Panel；从样本到文库，整个实验流程可在两天内完成。</w:t>
            </w:r>
          </w:p>
          <w:p w14:paraId="6BF78B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13" w:type="pct"/>
            <w:noWrap w:val="0"/>
            <w:vAlign w:val="center"/>
          </w:tcPr>
          <w:p w14:paraId="223FF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13" w:type="pct"/>
            <w:noWrap w:val="0"/>
            <w:vAlign w:val="center"/>
          </w:tcPr>
          <w:p w14:paraId="661A2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noWrap w:val="0"/>
            <w:vAlign w:val="center"/>
          </w:tcPr>
          <w:p w14:paraId="2C123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6,800,000.00</w:t>
            </w:r>
          </w:p>
        </w:tc>
        <w:tc>
          <w:tcPr>
            <w:tcW w:w="539" w:type="pct"/>
            <w:noWrap w:val="0"/>
            <w:vAlign w:val="center"/>
          </w:tcPr>
          <w:p w14:paraId="46245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6,800,000.00</w:t>
            </w:r>
          </w:p>
        </w:tc>
      </w:tr>
      <w:bookmarkEnd w:id="0"/>
      <w:bookmarkEnd w:id="1"/>
      <w:bookmarkEnd w:id="2"/>
      <w:tr w14:paraId="3FB1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331" w:type="pct"/>
            <w:gridSpan w:val="5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309B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合计金额：（大写）人民币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bidi="zh-CN"/>
              </w:rPr>
              <w:t>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拾万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元整</w:t>
            </w:r>
          </w:p>
        </w:tc>
        <w:tc>
          <w:tcPr>
            <w:tcW w:w="1668" w:type="pct"/>
            <w:gridSpan w:val="4"/>
            <w:noWrap w:val="0"/>
            <w:vAlign w:val="center"/>
          </w:tcPr>
          <w:p w14:paraId="026033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（小写）¥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6,800,000.00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</w:t>
            </w:r>
          </w:p>
        </w:tc>
      </w:tr>
      <w:tr w14:paraId="2C34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530E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二、商务要求</w:t>
            </w:r>
          </w:p>
        </w:tc>
      </w:tr>
      <w:tr w14:paraId="7921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322C96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D57560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3ACFD6ED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020E3E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4E1084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0714E59E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172D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E97E648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质保期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9DB936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质保期：</w:t>
            </w:r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5</w:t>
            </w:r>
            <w:bookmarkStart w:id="3" w:name="_GoBack"/>
            <w:bookmarkEnd w:id="3"/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</w:rPr>
              <w:t>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14C9F8EB"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</w:tc>
      </w:tr>
      <w:tr w14:paraId="4A9D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015A9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产品及售后服务要求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ECA9000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交付的所有</w:t>
            </w:r>
            <w:r>
              <w:rPr>
                <w:rFonts w:hint="eastAsia" w:ascii="宋体" w:hAnsi="宋体" w:cs="宋体"/>
                <w:b/>
              </w:rPr>
              <w:t>货物</w:t>
            </w:r>
            <w:r>
              <w:rPr>
                <w:rFonts w:ascii="宋体" w:hAnsi="宋体" w:cs="宋体"/>
              </w:rPr>
              <w:t>必须是签订合同之日</w:t>
            </w:r>
            <w:r>
              <w:rPr>
                <w:rFonts w:ascii="宋体" w:hAnsi="宋体" w:cs="宋体"/>
                <w:b/>
              </w:rPr>
              <w:t>前</w:t>
            </w:r>
            <w:r>
              <w:rPr>
                <w:rFonts w:hint="eastAsia" w:ascii="宋体" w:hAnsi="宋体" w:cs="宋体"/>
                <w:b/>
                <w:u w:val="single"/>
              </w:rPr>
              <w:t xml:space="preserve"> 半年 </w:t>
            </w:r>
            <w:r>
              <w:rPr>
                <w:rFonts w:ascii="宋体" w:hAnsi="宋体" w:cs="宋体"/>
              </w:rPr>
              <w:t>内生产的产品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。</w:t>
            </w:r>
          </w:p>
          <w:p w14:paraId="590849F5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hint="eastAsia" w:ascii="宋体" w:hAnsi="宋体" w:cs="宋体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ascii="宋体" w:hAnsi="宋体" w:cs="宋体"/>
                <w:b/>
              </w:rPr>
              <w:t>（所有货物仅接受现场交付，不接受邮递）</w:t>
            </w:r>
          </w:p>
          <w:p w14:paraId="6B9667BB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3.为采购</w:t>
            </w:r>
            <w:r>
              <w:rPr>
                <w:rFonts w:hint="eastAsia" w:ascii="宋体" w:hAnsi="宋体" w:cs="宋体"/>
              </w:rPr>
              <w:t>人</w:t>
            </w:r>
            <w:r>
              <w:rPr>
                <w:rFonts w:ascii="宋体" w:hAnsi="宋体" w:cs="宋体"/>
              </w:rPr>
              <w:t>提供</w:t>
            </w:r>
            <w:r>
              <w:rPr>
                <w:rFonts w:hint="eastAsia" w:ascii="宋体" w:hAnsi="宋体" w:cs="宋体"/>
              </w:rPr>
              <w:t>产品</w:t>
            </w:r>
            <w:r>
              <w:rPr>
                <w:rFonts w:ascii="宋体" w:hAnsi="宋体" w:cs="宋体"/>
              </w:rPr>
              <w:t>操作</w:t>
            </w:r>
            <w:r>
              <w:rPr>
                <w:rFonts w:hint="eastAsia" w:ascii="宋体" w:hAnsi="宋体" w:cs="宋体"/>
              </w:rPr>
              <w:t>、维修、日常养护等方面的</w:t>
            </w:r>
            <w:r>
              <w:rPr>
                <w:rFonts w:ascii="宋体" w:hAnsi="宋体" w:cs="宋体"/>
              </w:rPr>
              <w:t>培训，确保</w:t>
            </w:r>
            <w:r>
              <w:rPr>
                <w:rFonts w:hint="eastAsia" w:ascii="宋体" w:hAnsi="宋体" w:cs="宋体"/>
              </w:rPr>
              <w:t>采购方使用人员</w:t>
            </w:r>
            <w:r>
              <w:rPr>
                <w:rFonts w:ascii="宋体" w:hAnsi="宋体" w:cs="宋体"/>
              </w:rPr>
              <w:t>能独立操作使用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培训人数</w:t>
            </w:r>
            <w:r>
              <w:rPr>
                <w:rFonts w:hint="eastAsia" w:ascii="宋体" w:hAnsi="宋体" w:cs="宋体"/>
              </w:rPr>
              <w:t>、时间、地点等</w:t>
            </w:r>
            <w:r>
              <w:rPr>
                <w:rFonts w:ascii="宋体" w:hAnsi="宋体" w:cs="宋体"/>
              </w:rPr>
              <w:t>由采购</w:t>
            </w:r>
            <w:r>
              <w:rPr>
                <w:rFonts w:hint="eastAsia" w:ascii="宋体" w:hAnsi="宋体" w:cs="宋体"/>
              </w:rPr>
              <w:t>人指定</w:t>
            </w:r>
            <w:r>
              <w:rPr>
                <w:rFonts w:ascii="宋体" w:hAnsi="宋体" w:cs="宋体"/>
              </w:rPr>
              <w:t>。</w:t>
            </w:r>
          </w:p>
          <w:p w14:paraId="4FDCA367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4.故障响应时间：在使用过程中</w:t>
            </w:r>
            <w:r>
              <w:rPr>
                <w:rFonts w:hint="eastAsia" w:ascii="宋体" w:hAnsi="宋体" w:cs="宋体"/>
              </w:rPr>
              <w:t>出现</w:t>
            </w:r>
            <w:r>
              <w:rPr>
                <w:rFonts w:ascii="宋体" w:hAnsi="宋体" w:cs="宋体"/>
              </w:rPr>
              <w:t>质量问题，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在接到</w:t>
            </w:r>
            <w:r>
              <w:rPr>
                <w:rFonts w:hint="eastAsia" w:ascii="宋体" w:hAnsi="宋体" w:cs="宋体"/>
              </w:rPr>
              <w:t>采购人</w:t>
            </w:r>
            <w:r>
              <w:rPr>
                <w:rFonts w:ascii="宋体" w:hAnsi="宋体" w:cs="宋体"/>
              </w:rPr>
              <w:t>通知后1小时</w:t>
            </w:r>
            <w:r>
              <w:rPr>
                <w:rFonts w:hint="eastAsia" w:ascii="宋体" w:hAnsi="宋体" w:cs="宋体"/>
              </w:rPr>
              <w:t>作出</w:t>
            </w:r>
            <w:r>
              <w:rPr>
                <w:rFonts w:ascii="宋体" w:hAnsi="宋体" w:cs="宋体"/>
              </w:rPr>
              <w:t>响应</w:t>
            </w:r>
            <w:r>
              <w:rPr>
                <w:rFonts w:hint="eastAsia" w:ascii="宋体" w:hAnsi="宋体" w:cs="宋体"/>
              </w:rPr>
              <w:t>；如需到达现场解决的，在</w:t>
            </w:r>
            <w:r>
              <w:rPr>
                <w:rFonts w:ascii="宋体" w:hAnsi="宋体" w:cs="宋体"/>
              </w:rPr>
              <w:t>8小时内</w:t>
            </w:r>
            <w:r>
              <w:rPr>
                <w:rFonts w:hint="eastAsia" w:ascii="宋体" w:hAnsi="宋体" w:cs="宋体"/>
              </w:rPr>
              <w:t>应</w:t>
            </w:r>
            <w:r>
              <w:rPr>
                <w:rFonts w:ascii="宋体" w:hAnsi="宋体" w:cs="宋体"/>
              </w:rPr>
              <w:t>到达现场。</w:t>
            </w:r>
          </w:p>
          <w:p w14:paraId="27CCD28C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5.</w:t>
            </w:r>
            <w:r>
              <w:rPr>
                <w:rFonts w:hint="eastAsia" w:ascii="宋体" w:hAnsi="宋体" w:cs="宋体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</w:rPr>
              <w:t>供货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安装过程中产生的残留物或垃圾，</w:t>
            </w:r>
            <w:r>
              <w:rPr>
                <w:rFonts w:hint="eastAsia" w:ascii="宋体" w:hAnsi="宋体" w:cs="宋体"/>
              </w:rPr>
              <w:t>成交人需</w:t>
            </w:r>
            <w:r>
              <w:rPr>
                <w:rFonts w:ascii="宋体" w:hAnsi="宋体" w:cs="宋体"/>
              </w:rPr>
              <w:t>自行清理至校外。</w:t>
            </w:r>
          </w:p>
        </w:tc>
      </w:tr>
      <w:tr w14:paraId="1307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6D4E80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交付时间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72BEAF">
            <w:pPr>
              <w:rPr>
                <w:rFonts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0日内   </w:t>
            </w:r>
            <w:r>
              <w:rPr>
                <w:rFonts w:hint="eastAsia" w:ascii="宋体" w:hAnsi="宋体" w:cs="宋体"/>
                <w:spacing w:val="-2"/>
              </w:rPr>
              <w:t>全部交付完成并验收合格。</w:t>
            </w:r>
          </w:p>
          <w:p w14:paraId="076CC482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  <w:lang w:val="en-US" w:eastAsia="zh-CN"/>
              </w:rPr>
              <w:t>中医药</w:t>
            </w:r>
            <w:r>
              <w:rPr>
                <w:rFonts w:hint="eastAsia" w:ascii="宋体" w:hAnsi="宋体" w:cs="宋体"/>
              </w:rPr>
              <w:t>大学</w:t>
            </w:r>
            <w:r>
              <w:rPr>
                <w:rFonts w:ascii="宋体" w:hAnsi="宋体" w:cs="宋体"/>
              </w:rPr>
              <w:t>。</w:t>
            </w:r>
          </w:p>
        </w:tc>
      </w:tr>
      <w:tr w14:paraId="211F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E83248E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三、其它要求</w:t>
            </w:r>
          </w:p>
        </w:tc>
      </w:tr>
      <w:tr w14:paraId="6FC1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62D8478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FF0000"/>
              </w:rPr>
              <w:t>（填写其他补充事项）</w:t>
            </w:r>
          </w:p>
        </w:tc>
      </w:tr>
    </w:tbl>
    <w:p w14:paraId="21ACB7AD">
      <w:pPr>
        <w:rPr>
          <w:rFonts w:ascii="宋体" w:hAnsi="宋体" w:cs="仿宋"/>
          <w:bCs/>
          <w:color w:val="000000"/>
        </w:rPr>
      </w:pPr>
      <w:r>
        <w:rPr>
          <w:rFonts w:hint="eastAsia" w:ascii="宋体" w:hAnsi="宋体" w:cs="仿宋"/>
          <w:color w:val="000000"/>
          <w:sz w:val="18"/>
        </w:rPr>
        <w:t>注：所有价格均用人民币表示，单位为元，精确到小数点后两位。</w:t>
      </w:r>
    </w:p>
    <w:p w14:paraId="5E27CFD2">
      <w:pPr>
        <w:spacing w:line="460" w:lineRule="exact"/>
        <w:rPr>
          <w:rFonts w:ascii="宋体" w:hAnsi="宋体" w:cs="仿宋"/>
          <w:bCs/>
          <w:color w:val="000000"/>
        </w:rPr>
      </w:pPr>
    </w:p>
    <w:p w14:paraId="01860F6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56DFAB6F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6D916B5E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35B2FE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0395909A">
      <w:pPr>
        <w:spacing w:line="360" w:lineRule="auto"/>
        <w:rPr>
          <w:rFonts w:ascii="宋体" w:hAnsi="宋体" w:cs="宋体"/>
          <w:sz w:val="28"/>
          <w:szCs w:val="28"/>
        </w:rPr>
      </w:pPr>
    </w:p>
    <w:p w14:paraId="32932B66">
      <w:pPr>
        <w:spacing w:line="360" w:lineRule="auto"/>
        <w:ind w:left="10" w:leftChars="1" w:hanging="8" w:hangingChars="3"/>
        <w:jc w:val="center"/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2A60D885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E59CF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EAA193"/>
    <w:multiLevelType w:val="singleLevel"/>
    <w:tmpl w:val="50EAA1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65498"/>
    <w:rsid w:val="03420E7B"/>
    <w:rsid w:val="083A0C0C"/>
    <w:rsid w:val="09A1725A"/>
    <w:rsid w:val="10E82D03"/>
    <w:rsid w:val="13623FB2"/>
    <w:rsid w:val="221A36F4"/>
    <w:rsid w:val="25D65498"/>
    <w:rsid w:val="346858E8"/>
    <w:rsid w:val="36E235B7"/>
    <w:rsid w:val="3B6C16D9"/>
    <w:rsid w:val="486B3145"/>
    <w:rsid w:val="4F311AFC"/>
    <w:rsid w:val="65861AE8"/>
    <w:rsid w:val="6C2C4154"/>
    <w:rsid w:val="6E7B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2032</Words>
  <Characters>2359</Characters>
  <Lines>0</Lines>
  <Paragraphs>0</Paragraphs>
  <TotalTime>0</TotalTime>
  <ScaleCrop>false</ScaleCrop>
  <LinksUpToDate>false</LinksUpToDate>
  <CharactersWithSpaces>2621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2025-06-13T09:20:00Z</dcterms:created>
  <dc:creator>文军</dc:creator>
  <cp:lastModifiedBy>一次心</cp:lastModifiedBy>
  <dcterms:modified xsi:type="dcterms:W3CDTF">2026-03-09T13:40:12Z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87B5EEB113BC46FB97D3FC1E80A38779_13</vt:lpwstr>
  </property>
  <property fmtid="{D5CDD505-2E9C-101B-9397-08002B2CF9AE}" pid="4" name="KSOTemplateDocerSaveRecord">
    <vt:lpwstr>eyJoZGlkIjoiMjcxMDljNjJjYWRmNTRhNzE4ZWE5ZGY2ZDExY2EyOTEiLCJ1c2VySWQiOiI0Mjc1NTAxODIifQ==</vt:lpwstr>
  </property>
</Properties>
</file>