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BFE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1"/>
          <w:szCs w:val="21"/>
        </w:rPr>
      </w:pPr>
      <w:r>
        <w:rPr>
          <w:b/>
          <w:bCs/>
          <w:i w:val="0"/>
          <w:iCs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2025年国际期刊预警名单发布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instrText xml:space="preserve"> HYPERLINK "javascript:;"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instrText xml:space="preserve"> HYPERLINK "https://service.weibo.com/share/share.php?url=https://www.iae.cas.cn/jw/kycx/202504/t20250401_7585150.html&amp;title=2025%E5%B9%B4%E5%9B%BD%E9%99%85%E6%9C%9F%E5%88%8A%E9%A2%84%E8%AD%A6%E5%90%8D%E5%8D%95%E5%8F%91%E5%B8%83!---- %E7%9B%91%E7%9D%A3%E5%AE%A1%E8%AE%A1%E5%AE%A4&amp;pic=https://iae.cas.cn/images/sj-logo.png&amp;appkey=" \t "https://www.iae.cas.cn/jw/kycx/202504/_blank"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30"/>
          <w:szCs w:val="30"/>
          <w:u w:val="none"/>
          <w:bdr w:val="none" w:color="auto" w:sz="0" w:space="0"/>
          <w:shd w:val="clear" w:fill="EAF8E7"/>
          <w:lang w:val="en-US" w:eastAsia="zh-CN" w:bidi="ar"/>
        </w:rPr>
        <w:fldChar w:fldCharType="end"/>
      </w:r>
    </w:p>
    <w:p w14:paraId="63CCD0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50" w:lineRule="atLeast"/>
        <w:ind w:left="0" w:right="0" w:firstLine="630" w:firstLineChars="200"/>
        <w:jc w:val="both"/>
        <w:rPr>
          <w:sz w:val="28"/>
          <w:szCs w:val="28"/>
        </w:rPr>
      </w:pPr>
      <w:r>
        <w:rPr>
          <w:rFonts w:ascii="等线" w:hAnsi="等线" w:eastAsia="等线" w:cs="等线"/>
          <w:i w:val="0"/>
          <w:iCs w:val="0"/>
          <w:caps w:val="0"/>
          <w:color w:val="333333"/>
          <w:spacing w:val="15"/>
          <w:sz w:val="28"/>
          <w:szCs w:val="28"/>
          <w:bdr w:val="none" w:color="auto" w:sz="0" w:space="0"/>
          <w:shd w:val="clear" w:fill="FFFFFF"/>
        </w:rPr>
        <w:t>延续过往，秉承初心，</w:t>
      </w:r>
      <w:r>
        <w:rPr>
          <w:rFonts w:hint="eastAsia" w:ascii="等线" w:hAnsi="等线" w:eastAsia="等线" w:cs="等线"/>
          <w:i w:val="0"/>
          <w:iCs w:val="0"/>
          <w:caps w:val="0"/>
          <w:color w:val="FF2941"/>
          <w:spacing w:val="15"/>
          <w:sz w:val="28"/>
          <w:szCs w:val="28"/>
          <w:bdr w:val="none" w:color="auto" w:sz="0" w:space="0"/>
          <w:shd w:val="clear" w:fill="FFFFFF"/>
        </w:rPr>
        <w:t>期刊分区表团队发布2025年《国际期刊预警名单》</w:t>
      </w:r>
    </w:p>
    <w:p w14:paraId="464626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5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67960" cy="1402080"/>
            <wp:effectExtent l="0" t="0" r="8890" b="7620"/>
            <wp:docPr id="1" name="图片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E81B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5"/>
          <w:sz w:val="24"/>
          <w:szCs w:val="24"/>
          <w:bdr w:val="none" w:color="auto" w:sz="0" w:space="0"/>
          <w:shd w:val="clear" w:fill="FFFFFF"/>
        </w:rPr>
        <w:t>  </w:t>
      </w: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5"/>
          <w:sz w:val="31"/>
          <w:szCs w:val="31"/>
          <w:bdr w:val="none" w:color="auto" w:sz="0" w:space="0"/>
          <w:shd w:val="clear" w:fill="FFFFFF"/>
        </w:rPr>
        <w:t>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5"/>
          <w:sz w:val="28"/>
          <w:szCs w:val="28"/>
          <w:bdr w:val="none" w:color="auto" w:sz="0" w:space="0"/>
          <w:shd w:val="clear" w:fill="FFFFFF"/>
        </w:rPr>
        <w:t>2025年《国际期刊预警名单》聚焦两类科研生态建设亟待解决的问题与挑战：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15"/>
          <w:sz w:val="28"/>
          <w:szCs w:val="28"/>
          <w:bdr w:val="none" w:color="auto" w:sz="0" w:space="0"/>
          <w:shd w:val="clear" w:fill="FFFFFF"/>
        </w:rPr>
        <w:t>1）破坏科研生态良性发展的学术不端行为；2）不利于我国学术成果的国际化传播、出版经费有效使用的行为。</w:t>
      </w:r>
    </w:p>
    <w:p w14:paraId="2D2D8E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15"/>
          <w:sz w:val="28"/>
          <w:szCs w:val="28"/>
          <w:bdr w:val="none" w:color="auto" w:sz="0" w:space="0"/>
          <w:shd w:val="clear" w:fill="FFFFFF"/>
        </w:rPr>
        <w:t>    </w:t>
      </w: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15"/>
          <w:sz w:val="28"/>
          <w:szCs w:val="28"/>
          <w:bdr w:val="none" w:color="auto" w:sz="0" w:space="0"/>
          <w:shd w:val="clear" w:fill="FFFFFF"/>
        </w:rPr>
        <w:t>关于2025年《国际期刊预警名单》相关说明如下:</w:t>
      </w:r>
    </w:p>
    <w:p w14:paraId="031139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15"/>
          <w:sz w:val="28"/>
          <w:szCs w:val="28"/>
          <w:bdr w:val="none" w:color="auto" w:sz="0" w:space="0"/>
          <w:shd w:val="clear" w:fill="FFFFFF"/>
        </w:rPr>
        <w:t>    1）沿用2024年规则，不再区分预警风险等级。</w:t>
      </w:r>
    </w:p>
    <w:p w14:paraId="3C67D7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15"/>
          <w:sz w:val="28"/>
          <w:szCs w:val="28"/>
          <w:bdr w:val="none" w:color="auto" w:sz="0" w:space="0"/>
          <w:shd w:val="clear" w:fill="FFFFFF"/>
        </w:rPr>
        <w:t>    2）关于《国际期刊预警名单》的使用，需要特别指出得是，不应该把多年累积期刊列表合并使用。曾经进入预警名单的期刊在经过整改并取得显著成效之后，会被移出下年度预警名单，不再是预警期刊。</w:t>
      </w:r>
    </w:p>
    <w:p w14:paraId="2ABC3A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5"/>
          <w:sz w:val="28"/>
          <w:szCs w:val="28"/>
          <w:bdr w:val="none" w:color="auto" w:sz="0" w:space="0"/>
          <w:shd w:val="clear" w:fill="FFFFFF"/>
        </w:rPr>
        <w:t>    3）期刊预警不是论文评价，更不是否定预警期刊发表的每项成果。预警期刊旨在提醒科研人员审慎选择成果发表平台、提示出版机构强化期刊质量管理。</w:t>
      </w:r>
    </w:p>
    <w:p w14:paraId="2CFBCA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5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5"/>
          <w:sz w:val="28"/>
          <w:szCs w:val="28"/>
          <w:bdr w:val="none" w:color="auto" w:sz="0" w:space="0"/>
          <w:shd w:val="clear" w:fill="FFFFFF"/>
        </w:rPr>
        <w:t>    《国际期刊预警名单》确定的原则是客观、审慎、开放。期刊分区表团队希望与科学共同体、科研管理部门、期刊及出版商等共同努力，夯实科学精神，打造气正风清的学术环境。</w:t>
      </w:r>
    </w:p>
    <w:bookmarkEnd w:id="0"/>
    <w:p w14:paraId="7F3959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C53EE"/>
    <w:rsid w:val="34EC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2025-10-27T01:44:00Z</dcterms:created>
  <dc:creator>杨花纷飞</dc:creator>
  <cp:lastModifiedBy>杨花纷飞</cp:lastModifiedBy>
  <dcterms:modified xsi:type="dcterms:W3CDTF">2025-10-27T01:44:53Z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5ABC7A24A7D94E0F9C6BFA0BCA79E86E_11</vt:lpwstr>
  </property>
  <property fmtid="{D5CDD505-2E9C-101B-9397-08002B2CF9AE}" pid="4" name="KSOTemplateDocerSaveRecord">
    <vt:lpwstr>eyJoZGlkIjoiZDY2NDgzMWY1MTVjMmMyNTFjOGE4ZDljYjE2NDJiZWIiLCJ1c2VySWQiOiIzMTcyOTYwODEifQ==</vt:lpwstr>
  </property>
</Properties>
</file>