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BC939">
      <w:pPr>
        <w:jc w:val="center"/>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广西中医药大学第二临床医学院</w:t>
      </w:r>
    </w:p>
    <w:p w14:paraId="653A4E41">
      <w:pPr>
        <w:jc w:val="center"/>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2026年普通本科生转专业实施方案</w:t>
      </w:r>
    </w:p>
    <w:p w14:paraId="634ECF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p>
    <w:p w14:paraId="690E569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根据《关于印发〈广西中医药大学本科学生转专业管理实施细则（2025年修订）〉的通知》（桂中医大教务〔2025〕108号）</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以下简称《</w:t>
      </w:r>
      <w:r>
        <w:rPr>
          <w:rFonts w:hint="eastAsia" w:ascii="仿宋" w:hAnsi="仿宋" w:eastAsia="仿宋" w:cs="仿宋"/>
          <w:sz w:val="32"/>
          <w:szCs w:val="32"/>
        </w:rPr>
        <w:t>实施细则</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w:t>
      </w:r>
      <w:r>
        <w:rPr>
          <w:rFonts w:hint="eastAsia" w:ascii="仿宋" w:hAnsi="仿宋" w:eastAsia="仿宋" w:cs="仿宋"/>
          <w:sz w:val="32"/>
          <w:szCs w:val="32"/>
        </w:rPr>
        <w:t>文件精神，结合我</w:t>
      </w:r>
      <w:r>
        <w:rPr>
          <w:rFonts w:hint="eastAsia" w:ascii="仿宋" w:hAnsi="仿宋" w:eastAsia="仿宋" w:cs="仿宋"/>
          <w:sz w:val="32"/>
          <w:szCs w:val="32"/>
          <w:lang w:val="en-US" w:eastAsia="zh-CN"/>
        </w:rPr>
        <w:t>院</w:t>
      </w:r>
      <w:r>
        <w:rPr>
          <w:rFonts w:hint="eastAsia" w:ascii="仿宋" w:hAnsi="仿宋" w:eastAsia="仿宋" w:cs="仿宋"/>
          <w:sz w:val="32"/>
          <w:szCs w:val="32"/>
        </w:rPr>
        <w:t>实际情况，为保障转专业工作的公平、公正、公开和择优选拔，确保202</w:t>
      </w:r>
      <w:r>
        <w:rPr>
          <w:rFonts w:hint="eastAsia" w:ascii="仿宋" w:hAnsi="仿宋" w:eastAsia="仿宋" w:cs="仿宋"/>
          <w:sz w:val="32"/>
          <w:szCs w:val="32"/>
          <w:lang w:val="en-US" w:eastAsia="zh-CN"/>
        </w:rPr>
        <w:t>6</w:t>
      </w:r>
      <w:r>
        <w:rPr>
          <w:rFonts w:hint="eastAsia" w:ascii="仿宋" w:hAnsi="仿宋" w:eastAsia="仿宋" w:cs="仿宋"/>
          <w:sz w:val="32"/>
          <w:szCs w:val="32"/>
        </w:rPr>
        <w:t>年本科生</w:t>
      </w:r>
      <w:r>
        <w:rPr>
          <w:rFonts w:hint="eastAsia" w:ascii="仿宋" w:hAnsi="仿宋" w:eastAsia="仿宋" w:cs="仿宋"/>
          <w:sz w:val="32"/>
          <w:szCs w:val="32"/>
          <w:lang w:val="en-US" w:eastAsia="zh-CN"/>
        </w:rPr>
        <w:t>转专业</w:t>
      </w:r>
      <w:r>
        <w:rPr>
          <w:rFonts w:hint="eastAsia" w:ascii="仿宋" w:hAnsi="仿宋" w:eastAsia="仿宋" w:cs="仿宋"/>
          <w:sz w:val="32"/>
          <w:szCs w:val="32"/>
        </w:rPr>
        <w:t>工作顺利进行</w:t>
      </w:r>
      <w:r>
        <w:rPr>
          <w:rFonts w:hint="eastAsia" w:ascii="仿宋" w:hAnsi="仿宋" w:eastAsia="仿宋" w:cs="仿宋"/>
          <w:sz w:val="32"/>
          <w:szCs w:val="32"/>
          <w:lang w:eastAsia="zh-CN"/>
        </w:rPr>
        <w:t>，</w:t>
      </w:r>
      <w:r>
        <w:rPr>
          <w:rFonts w:hint="eastAsia" w:ascii="仿宋" w:hAnsi="仿宋" w:eastAsia="仿宋" w:cs="仿宋"/>
          <w:sz w:val="32"/>
          <w:szCs w:val="32"/>
        </w:rPr>
        <w:t>特</w:t>
      </w:r>
      <w:r>
        <w:rPr>
          <w:rFonts w:hint="eastAsia" w:ascii="仿宋" w:hAnsi="仿宋" w:eastAsia="仿宋" w:cs="仿宋"/>
          <w:sz w:val="32"/>
          <w:szCs w:val="32"/>
          <w:lang w:eastAsia="zh-CN"/>
        </w:rPr>
        <w:t>制定</w:t>
      </w:r>
      <w:r>
        <w:rPr>
          <w:rFonts w:hint="eastAsia" w:ascii="仿宋" w:hAnsi="仿宋" w:eastAsia="仿宋" w:cs="仿宋"/>
          <w:sz w:val="32"/>
          <w:szCs w:val="32"/>
        </w:rPr>
        <w:t>本</w:t>
      </w:r>
      <w:r>
        <w:rPr>
          <w:rFonts w:hint="eastAsia" w:ascii="仿宋" w:hAnsi="仿宋" w:eastAsia="仿宋" w:cs="仿宋"/>
          <w:sz w:val="32"/>
          <w:szCs w:val="32"/>
          <w:lang w:val="en-US" w:eastAsia="zh-CN"/>
        </w:rPr>
        <w:t>实施</w:t>
      </w:r>
      <w:r>
        <w:rPr>
          <w:rFonts w:hint="eastAsia" w:ascii="仿宋" w:hAnsi="仿宋" w:eastAsia="仿宋" w:cs="仿宋"/>
          <w:sz w:val="32"/>
          <w:szCs w:val="32"/>
        </w:rPr>
        <w:t>方案</w:t>
      </w:r>
      <w:r>
        <w:rPr>
          <w:rFonts w:hint="eastAsia" w:ascii="仿宋" w:hAnsi="仿宋" w:eastAsia="仿宋" w:cs="仿宋"/>
          <w:sz w:val="32"/>
          <w:szCs w:val="32"/>
          <w:lang w:eastAsia="zh-CN"/>
        </w:rPr>
        <w:t>。</w:t>
      </w:r>
    </w:p>
    <w:p w14:paraId="701E9D4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一、成立转专业工作组</w:t>
      </w:r>
    </w:p>
    <w:p w14:paraId="243A731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rPr>
      </w:pPr>
      <w:r>
        <w:rPr>
          <w:rFonts w:hint="default" w:ascii="仿宋" w:hAnsi="仿宋" w:eastAsia="仿宋" w:cs="仿宋"/>
          <w:sz w:val="32"/>
          <w:szCs w:val="32"/>
        </w:rPr>
        <w:t>组  长：高宏君</w:t>
      </w:r>
      <w:r>
        <w:rPr>
          <w:rFonts w:hint="eastAsia" w:ascii="仿宋" w:hAnsi="仿宋" w:eastAsia="仿宋" w:cs="仿宋"/>
          <w:sz w:val="32"/>
          <w:szCs w:val="32"/>
          <w:lang w:val="en-US" w:eastAsia="zh-CN"/>
        </w:rPr>
        <w:t xml:space="preserve">  </w:t>
      </w:r>
      <w:r>
        <w:rPr>
          <w:rFonts w:hint="default" w:ascii="仿宋" w:hAnsi="仿宋" w:eastAsia="仿宋" w:cs="仿宋"/>
          <w:sz w:val="32"/>
          <w:szCs w:val="32"/>
        </w:rPr>
        <w:t xml:space="preserve">唐红珍 </w:t>
      </w:r>
    </w:p>
    <w:p w14:paraId="11D7DADA">
      <w:pPr>
        <w:keepNext w:val="0"/>
        <w:keepLines w:val="0"/>
        <w:pageBreakBefore w:val="0"/>
        <w:widowControl w:val="0"/>
        <w:kinsoku/>
        <w:wordWrap/>
        <w:overflowPunct/>
        <w:topLinePunct w:val="0"/>
        <w:autoSpaceDE/>
        <w:autoSpaceDN/>
        <w:bidi w:val="0"/>
        <w:adjustRightInd/>
        <w:snapToGrid/>
        <w:spacing w:line="520" w:lineRule="exact"/>
        <w:ind w:left="638" w:leftChars="304" w:firstLine="0" w:firstLineChars="0"/>
        <w:textAlignment w:val="auto"/>
        <w:rPr>
          <w:rFonts w:hint="default" w:ascii="仿宋" w:hAnsi="仿宋" w:eastAsia="仿宋" w:cs="仿宋"/>
          <w:sz w:val="32"/>
          <w:szCs w:val="32"/>
        </w:rPr>
      </w:pPr>
      <w:r>
        <w:rPr>
          <w:rFonts w:hint="default" w:ascii="仿宋" w:hAnsi="仿宋" w:eastAsia="仿宋" w:cs="仿宋"/>
          <w:sz w:val="32"/>
          <w:szCs w:val="32"/>
        </w:rPr>
        <w:t>副组长：古  联</w:t>
      </w:r>
      <w:r>
        <w:rPr>
          <w:rFonts w:hint="eastAsia" w:ascii="仿宋" w:hAnsi="仿宋" w:eastAsia="仿宋" w:cs="仿宋"/>
          <w:sz w:val="32"/>
          <w:szCs w:val="32"/>
          <w:lang w:val="en-US" w:eastAsia="zh-CN"/>
        </w:rPr>
        <w:t xml:space="preserve">  </w:t>
      </w:r>
      <w:r>
        <w:rPr>
          <w:rFonts w:hint="default" w:ascii="仿宋" w:hAnsi="仿宋" w:eastAsia="仿宋" w:cs="仿宋"/>
          <w:sz w:val="32"/>
          <w:szCs w:val="32"/>
        </w:rPr>
        <w:t>王德胜</w:t>
      </w:r>
    </w:p>
    <w:p w14:paraId="7F0EECC1">
      <w:pPr>
        <w:keepNext w:val="0"/>
        <w:keepLines w:val="0"/>
        <w:pageBreakBefore w:val="0"/>
        <w:widowControl w:val="0"/>
        <w:kinsoku/>
        <w:wordWrap/>
        <w:overflowPunct/>
        <w:topLinePunct w:val="0"/>
        <w:autoSpaceDE/>
        <w:autoSpaceDN/>
        <w:bidi w:val="0"/>
        <w:adjustRightInd/>
        <w:snapToGrid/>
        <w:spacing w:line="520" w:lineRule="exact"/>
        <w:ind w:left="638" w:leftChars="304" w:firstLine="0" w:firstLineChars="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组  员：姜俊玲  王  瑜  黄清玉  李建橡  侯  彬</w:t>
      </w:r>
    </w:p>
    <w:p w14:paraId="57308399">
      <w:pPr>
        <w:keepNext w:val="0"/>
        <w:keepLines w:val="0"/>
        <w:pageBreakBefore w:val="0"/>
        <w:widowControl w:val="0"/>
        <w:kinsoku/>
        <w:wordWrap/>
        <w:overflowPunct/>
        <w:topLinePunct w:val="0"/>
        <w:autoSpaceDE/>
        <w:autoSpaceDN/>
        <w:bidi w:val="0"/>
        <w:adjustRightInd/>
        <w:snapToGrid/>
        <w:spacing w:line="520" w:lineRule="exact"/>
        <w:ind w:firstLine="1920" w:firstLineChars="6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李  琳</w:t>
      </w:r>
    </w:p>
    <w:p w14:paraId="7F5FE779">
      <w:pPr>
        <w:keepNext w:val="0"/>
        <w:keepLines w:val="0"/>
        <w:pageBreakBefore w:val="0"/>
        <w:widowControl w:val="0"/>
        <w:kinsoku/>
        <w:wordWrap/>
        <w:overflowPunct/>
        <w:topLinePunct w:val="0"/>
        <w:autoSpaceDE/>
        <w:autoSpaceDN/>
        <w:bidi w:val="0"/>
        <w:adjustRightInd/>
        <w:snapToGrid/>
        <w:spacing w:line="520" w:lineRule="exact"/>
        <w:ind w:firstLine="1920" w:firstLineChars="600"/>
        <w:textAlignment w:val="auto"/>
        <w:rPr>
          <w:rFonts w:hint="default" w:ascii="仿宋" w:hAnsi="仿宋" w:eastAsia="仿宋" w:cs="仿宋"/>
          <w:sz w:val="32"/>
          <w:szCs w:val="32"/>
        </w:rPr>
      </w:pPr>
      <w:r>
        <w:rPr>
          <w:rFonts w:hint="eastAsia" w:ascii="仿宋" w:hAnsi="仿宋" w:eastAsia="仿宋" w:cs="仿宋"/>
          <w:sz w:val="32"/>
          <w:szCs w:val="32"/>
          <w:lang w:val="en-US" w:eastAsia="zh-CN"/>
        </w:rPr>
        <w:t>各专业负责人、辅导员和各教研室主任</w:t>
      </w:r>
    </w:p>
    <w:p w14:paraId="48959C5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二、转专业人数计划</w:t>
      </w:r>
    </w:p>
    <w:p w14:paraId="31FC5A3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根据学校《实施细则》要求，结合我院教学资源及专业发展需求，</w:t>
      </w:r>
      <w:r>
        <w:rPr>
          <w:rFonts w:hint="eastAsia" w:ascii="仿宋" w:hAnsi="仿宋" w:eastAsia="仿宋" w:cs="仿宋"/>
          <w:color w:val="000000" w:themeColor="text1"/>
          <w:sz w:val="32"/>
          <w:szCs w:val="32"/>
          <w:vertAlign w:val="baseline"/>
          <w:lang w:val="en-US" w:eastAsia="zh-CN"/>
          <w14:textFill>
            <w14:solidFill>
              <w14:schemeClr w14:val="tx1"/>
            </w14:solidFill>
          </w14:textFill>
        </w:rPr>
        <w:t>不限制转出人数，</w:t>
      </w:r>
      <w:r>
        <w:rPr>
          <w:rFonts w:hint="eastAsia" w:ascii="仿宋" w:hAnsi="仿宋" w:eastAsia="仿宋" w:cs="仿宋"/>
          <w:color w:val="000000" w:themeColor="text1"/>
          <w:sz w:val="32"/>
          <w:szCs w:val="32"/>
          <w:lang w:val="en-US" w:eastAsia="zh-CN"/>
          <w14:textFill>
            <w14:solidFill>
              <w14:schemeClr w14:val="tx1"/>
            </w14:solidFill>
          </w14:textFill>
        </w:rPr>
        <w:t>拟定各专业</w:t>
      </w:r>
      <w:r>
        <w:rPr>
          <w:rFonts w:hint="eastAsia" w:ascii="仿宋" w:hAnsi="仿宋" w:eastAsia="仿宋" w:cs="仿宋"/>
          <w:color w:val="000000" w:themeColor="text1"/>
          <w:sz w:val="32"/>
          <w:szCs w:val="32"/>
          <w:vertAlign w:val="baseline"/>
          <w:lang w:val="en-US" w:eastAsia="zh-CN"/>
          <w14:textFill>
            <w14:solidFill>
              <w14:schemeClr w14:val="tx1"/>
            </w14:solidFill>
          </w14:textFill>
        </w:rPr>
        <w:t>最多可接收人数如</w:t>
      </w:r>
      <w:r>
        <w:rPr>
          <w:rFonts w:hint="eastAsia" w:ascii="仿宋" w:hAnsi="仿宋" w:eastAsia="仿宋" w:cs="仿宋"/>
          <w:color w:val="000000" w:themeColor="text1"/>
          <w:sz w:val="32"/>
          <w:szCs w:val="32"/>
          <w:lang w:val="en-US" w:eastAsia="zh-CN"/>
          <w14:textFill>
            <w14:solidFill>
              <w14:schemeClr w14:val="tx1"/>
            </w14:solidFill>
          </w14:textFill>
        </w:rPr>
        <w:t>下：</w:t>
      </w:r>
    </w:p>
    <w:tbl>
      <w:tblPr>
        <w:tblStyle w:val="6"/>
        <w:tblW w:w="85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2604"/>
        <w:gridCol w:w="1560"/>
        <w:gridCol w:w="1663"/>
        <w:gridCol w:w="1653"/>
      </w:tblGrid>
      <w:tr w14:paraId="57B2C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vMerge w:val="restart"/>
            <w:vAlign w:val="center"/>
          </w:tcPr>
          <w:p w14:paraId="1102ED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序号</w:t>
            </w:r>
          </w:p>
        </w:tc>
        <w:tc>
          <w:tcPr>
            <w:tcW w:w="2604" w:type="dxa"/>
            <w:vMerge w:val="restart"/>
            <w:vAlign w:val="center"/>
          </w:tcPr>
          <w:p w14:paraId="39EDAD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专业名称</w:t>
            </w:r>
          </w:p>
        </w:tc>
        <w:tc>
          <w:tcPr>
            <w:tcW w:w="4876" w:type="dxa"/>
            <w:gridSpan w:val="3"/>
            <w:vAlign w:val="center"/>
          </w:tcPr>
          <w:p w14:paraId="06A211BE">
            <w:pPr>
              <w:keepNext w:val="0"/>
              <w:keepLines w:val="0"/>
              <w:pageBreakBefore w:val="0"/>
              <w:widowControl w:val="0"/>
              <w:kinsoku/>
              <w:wordWrap/>
              <w:overflowPunct/>
              <w:topLinePunct w:val="0"/>
              <w:autoSpaceDE/>
              <w:autoSpaceDN/>
              <w:bidi w:val="0"/>
              <w:adjustRightInd/>
              <w:snapToGrid/>
              <w:spacing w:line="400" w:lineRule="exact"/>
              <w:ind w:left="-105" w:leftChars="-50" w:right="-105" w:rightChars="-50"/>
              <w:jc w:val="center"/>
              <w:textAlignment w:val="auto"/>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可接收转入人数</w:t>
            </w:r>
          </w:p>
        </w:tc>
      </w:tr>
      <w:tr w14:paraId="7C350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vMerge w:val="continue"/>
            <w:vAlign w:val="center"/>
          </w:tcPr>
          <w:p w14:paraId="4F6197B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themeColor="text1"/>
                <w:sz w:val="32"/>
                <w:szCs w:val="32"/>
                <w:vertAlign w:val="baseline"/>
                <w:lang w:val="en-US" w:eastAsia="zh-CN"/>
                <w14:textFill>
                  <w14:solidFill>
                    <w14:schemeClr w14:val="tx1"/>
                  </w14:solidFill>
                </w14:textFill>
              </w:rPr>
            </w:pPr>
          </w:p>
        </w:tc>
        <w:tc>
          <w:tcPr>
            <w:tcW w:w="2604" w:type="dxa"/>
            <w:vMerge w:val="continue"/>
            <w:vAlign w:val="center"/>
          </w:tcPr>
          <w:p w14:paraId="44AC61F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themeColor="text1"/>
                <w:sz w:val="32"/>
                <w:szCs w:val="32"/>
                <w:vertAlign w:val="baseline"/>
                <w:lang w:val="en-US" w:eastAsia="zh-CN"/>
                <w14:textFill>
                  <w14:solidFill>
                    <w14:schemeClr w14:val="tx1"/>
                  </w14:solidFill>
                </w14:textFill>
              </w:rPr>
            </w:pPr>
          </w:p>
        </w:tc>
        <w:tc>
          <w:tcPr>
            <w:tcW w:w="1560" w:type="dxa"/>
            <w:vAlign w:val="center"/>
          </w:tcPr>
          <w:p w14:paraId="618170DE">
            <w:pPr>
              <w:keepNext w:val="0"/>
              <w:keepLines w:val="0"/>
              <w:pageBreakBefore w:val="0"/>
              <w:widowControl w:val="0"/>
              <w:kinsoku/>
              <w:wordWrap/>
              <w:overflowPunct/>
              <w:topLinePunct w:val="0"/>
              <w:autoSpaceDE/>
              <w:autoSpaceDN/>
              <w:bidi w:val="0"/>
              <w:adjustRightInd/>
              <w:snapToGrid/>
              <w:spacing w:line="400" w:lineRule="exact"/>
              <w:ind w:left="-105" w:leftChars="-50" w:right="-105" w:rightChars="-50"/>
              <w:jc w:val="center"/>
              <w:textAlignment w:val="auto"/>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2025级</w:t>
            </w:r>
          </w:p>
        </w:tc>
        <w:tc>
          <w:tcPr>
            <w:tcW w:w="1663" w:type="dxa"/>
            <w:vAlign w:val="center"/>
          </w:tcPr>
          <w:p w14:paraId="6314EE0F">
            <w:pPr>
              <w:keepNext w:val="0"/>
              <w:keepLines w:val="0"/>
              <w:pageBreakBefore w:val="0"/>
              <w:widowControl w:val="0"/>
              <w:kinsoku/>
              <w:wordWrap/>
              <w:overflowPunct/>
              <w:topLinePunct w:val="0"/>
              <w:autoSpaceDE/>
              <w:autoSpaceDN/>
              <w:bidi w:val="0"/>
              <w:adjustRightInd/>
              <w:snapToGrid/>
              <w:spacing w:line="400" w:lineRule="exact"/>
              <w:ind w:left="-105" w:leftChars="-50" w:right="-105" w:rightChars="-50"/>
              <w:jc w:val="center"/>
              <w:textAlignment w:val="auto"/>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2026级</w:t>
            </w:r>
          </w:p>
        </w:tc>
        <w:tc>
          <w:tcPr>
            <w:tcW w:w="1653" w:type="dxa"/>
            <w:vAlign w:val="center"/>
          </w:tcPr>
          <w:p w14:paraId="086C97E5">
            <w:pPr>
              <w:keepNext w:val="0"/>
              <w:keepLines w:val="0"/>
              <w:pageBreakBefore w:val="0"/>
              <w:widowControl w:val="0"/>
              <w:kinsoku/>
              <w:wordWrap/>
              <w:overflowPunct/>
              <w:topLinePunct w:val="0"/>
              <w:autoSpaceDE/>
              <w:autoSpaceDN/>
              <w:bidi w:val="0"/>
              <w:adjustRightInd/>
              <w:snapToGrid/>
              <w:spacing w:line="400" w:lineRule="exact"/>
              <w:ind w:left="-105" w:leftChars="-50" w:right="-105" w:rightChars="-50"/>
              <w:jc w:val="center"/>
              <w:textAlignment w:val="auto"/>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小计</w:t>
            </w:r>
          </w:p>
        </w:tc>
      </w:tr>
      <w:tr w14:paraId="547B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7996727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1</w:t>
            </w:r>
          </w:p>
        </w:tc>
        <w:tc>
          <w:tcPr>
            <w:tcW w:w="2604" w:type="dxa"/>
          </w:tcPr>
          <w:p w14:paraId="0EBA28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中西医临床医学</w:t>
            </w:r>
          </w:p>
        </w:tc>
        <w:tc>
          <w:tcPr>
            <w:tcW w:w="1560" w:type="dxa"/>
            <w:vAlign w:val="center"/>
          </w:tcPr>
          <w:p w14:paraId="7FEA7F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color w:val="FF0000"/>
                <w:sz w:val="32"/>
                <w:szCs w:val="32"/>
                <w:vertAlign w:val="baseline"/>
                <w:lang w:val="en-US" w:eastAsia="zh-CN"/>
              </w:rPr>
            </w:pPr>
            <w:r>
              <w:rPr>
                <w:rFonts w:hint="eastAsia" w:ascii="仿宋" w:hAnsi="仿宋" w:eastAsia="仿宋" w:cs="仿宋"/>
                <w:b w:val="0"/>
                <w:bCs w:val="0"/>
                <w:i w:val="0"/>
                <w:iCs w:val="0"/>
                <w:color w:val="auto"/>
                <w:sz w:val="32"/>
                <w:szCs w:val="32"/>
                <w:u w:val="none"/>
                <w:lang w:val="en-US" w:eastAsia="zh-CN"/>
              </w:rPr>
              <w:t>1</w:t>
            </w:r>
          </w:p>
        </w:tc>
        <w:tc>
          <w:tcPr>
            <w:tcW w:w="1663" w:type="dxa"/>
            <w:vAlign w:val="center"/>
          </w:tcPr>
          <w:p w14:paraId="7F419F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color w:val="FF0000"/>
                <w:sz w:val="32"/>
                <w:szCs w:val="32"/>
                <w:vertAlign w:val="baseline"/>
                <w:lang w:val="en-US" w:eastAsia="zh-CN"/>
              </w:rPr>
            </w:pPr>
            <w:r>
              <w:rPr>
                <w:rFonts w:hint="eastAsia" w:ascii="仿宋" w:hAnsi="仿宋" w:eastAsia="仿宋" w:cs="仿宋"/>
                <w:b w:val="0"/>
                <w:bCs w:val="0"/>
                <w:i w:val="0"/>
                <w:iCs w:val="0"/>
                <w:color w:val="auto"/>
                <w:sz w:val="32"/>
                <w:szCs w:val="32"/>
                <w:u w:val="none"/>
                <w:lang w:val="en-US" w:eastAsia="zh-CN"/>
              </w:rPr>
              <w:t>2</w:t>
            </w:r>
          </w:p>
        </w:tc>
        <w:tc>
          <w:tcPr>
            <w:tcW w:w="1653" w:type="dxa"/>
            <w:vAlign w:val="center"/>
          </w:tcPr>
          <w:p w14:paraId="640805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color w:val="FF0000"/>
                <w:sz w:val="32"/>
                <w:szCs w:val="32"/>
                <w:vertAlign w:val="baseline"/>
                <w:lang w:val="en-US" w:eastAsia="zh-CN"/>
              </w:rPr>
            </w:pPr>
            <w:r>
              <w:rPr>
                <w:rFonts w:hint="eastAsia" w:ascii="仿宋" w:hAnsi="仿宋" w:eastAsia="仿宋" w:cs="仿宋"/>
                <w:b w:val="0"/>
                <w:bCs w:val="0"/>
                <w:i w:val="0"/>
                <w:iCs w:val="0"/>
                <w:color w:val="auto"/>
                <w:sz w:val="32"/>
                <w:szCs w:val="32"/>
                <w:u w:val="none"/>
                <w:lang w:val="en-US" w:eastAsia="zh-CN"/>
              </w:rPr>
              <w:t>3</w:t>
            </w:r>
          </w:p>
        </w:tc>
      </w:tr>
      <w:tr w14:paraId="2966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691BEC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2</w:t>
            </w:r>
          </w:p>
        </w:tc>
        <w:tc>
          <w:tcPr>
            <w:tcW w:w="2604" w:type="dxa"/>
          </w:tcPr>
          <w:p w14:paraId="6E0521C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临床医学</w:t>
            </w:r>
          </w:p>
        </w:tc>
        <w:tc>
          <w:tcPr>
            <w:tcW w:w="1560" w:type="dxa"/>
            <w:vAlign w:val="center"/>
          </w:tcPr>
          <w:p w14:paraId="5398DE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color w:val="FF0000"/>
                <w:sz w:val="32"/>
                <w:szCs w:val="32"/>
                <w:vertAlign w:val="baseline"/>
                <w:lang w:val="en-US" w:eastAsia="zh-CN"/>
              </w:rPr>
            </w:pPr>
            <w:r>
              <w:rPr>
                <w:rFonts w:hint="eastAsia" w:ascii="仿宋" w:hAnsi="仿宋" w:eastAsia="仿宋" w:cs="仿宋"/>
                <w:b w:val="0"/>
                <w:bCs w:val="0"/>
                <w:i w:val="0"/>
                <w:iCs w:val="0"/>
                <w:color w:val="auto"/>
                <w:sz w:val="32"/>
                <w:szCs w:val="32"/>
                <w:u w:val="none"/>
                <w:lang w:val="en-US" w:eastAsia="zh-CN"/>
              </w:rPr>
              <w:t>2</w:t>
            </w:r>
          </w:p>
        </w:tc>
        <w:tc>
          <w:tcPr>
            <w:tcW w:w="1663" w:type="dxa"/>
            <w:vAlign w:val="center"/>
          </w:tcPr>
          <w:p w14:paraId="4A162C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color w:val="FF0000"/>
                <w:sz w:val="32"/>
                <w:szCs w:val="32"/>
                <w:vertAlign w:val="baseline"/>
                <w:lang w:val="en-US" w:eastAsia="zh-CN"/>
              </w:rPr>
            </w:pPr>
            <w:r>
              <w:rPr>
                <w:rFonts w:hint="eastAsia" w:ascii="仿宋" w:hAnsi="仿宋" w:eastAsia="仿宋" w:cs="仿宋"/>
                <w:b w:val="0"/>
                <w:bCs w:val="0"/>
                <w:i w:val="0"/>
                <w:iCs w:val="0"/>
                <w:color w:val="auto"/>
                <w:sz w:val="32"/>
                <w:szCs w:val="32"/>
                <w:u w:val="none"/>
                <w:lang w:val="en-US" w:eastAsia="zh-CN"/>
              </w:rPr>
              <w:t>3</w:t>
            </w:r>
          </w:p>
        </w:tc>
        <w:tc>
          <w:tcPr>
            <w:tcW w:w="1653" w:type="dxa"/>
            <w:vAlign w:val="center"/>
          </w:tcPr>
          <w:p w14:paraId="398BE7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color w:val="FF0000"/>
                <w:sz w:val="32"/>
                <w:szCs w:val="32"/>
                <w:vertAlign w:val="baseline"/>
                <w:lang w:val="en-US" w:eastAsia="zh-CN"/>
              </w:rPr>
            </w:pPr>
            <w:r>
              <w:rPr>
                <w:rFonts w:hint="eastAsia" w:ascii="仿宋" w:hAnsi="仿宋" w:eastAsia="仿宋" w:cs="仿宋"/>
                <w:b w:val="0"/>
                <w:bCs w:val="0"/>
                <w:i w:val="0"/>
                <w:iCs w:val="0"/>
                <w:color w:val="auto"/>
                <w:sz w:val="32"/>
                <w:szCs w:val="32"/>
                <w:u w:val="none"/>
                <w:lang w:val="en-US" w:eastAsia="zh-CN"/>
              </w:rPr>
              <w:t>5</w:t>
            </w:r>
          </w:p>
        </w:tc>
      </w:tr>
      <w:tr w14:paraId="28A0E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041" w:type="dxa"/>
          </w:tcPr>
          <w:p w14:paraId="36A1E62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3</w:t>
            </w:r>
          </w:p>
        </w:tc>
        <w:tc>
          <w:tcPr>
            <w:tcW w:w="2604" w:type="dxa"/>
          </w:tcPr>
          <w:p w14:paraId="261B9AD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医学检验技术</w:t>
            </w:r>
          </w:p>
        </w:tc>
        <w:tc>
          <w:tcPr>
            <w:tcW w:w="1560" w:type="dxa"/>
            <w:vAlign w:val="center"/>
          </w:tcPr>
          <w:p w14:paraId="6AE24D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b w:val="0"/>
                <w:bCs w:val="0"/>
                <w:i w:val="0"/>
                <w:iCs w:val="0"/>
                <w:color w:val="auto"/>
                <w:sz w:val="32"/>
                <w:szCs w:val="32"/>
                <w:u w:val="none"/>
                <w:lang w:val="en-US" w:eastAsia="zh-CN"/>
              </w:rPr>
              <w:t>4</w:t>
            </w:r>
          </w:p>
        </w:tc>
        <w:tc>
          <w:tcPr>
            <w:tcW w:w="1663" w:type="dxa"/>
            <w:vAlign w:val="center"/>
          </w:tcPr>
          <w:p w14:paraId="436B2A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b w:val="0"/>
                <w:bCs w:val="0"/>
                <w:i w:val="0"/>
                <w:iCs w:val="0"/>
                <w:color w:val="auto"/>
                <w:sz w:val="32"/>
                <w:szCs w:val="32"/>
                <w:u w:val="none"/>
                <w:lang w:val="en-US" w:eastAsia="zh-CN"/>
              </w:rPr>
              <w:t>1</w:t>
            </w:r>
          </w:p>
        </w:tc>
        <w:tc>
          <w:tcPr>
            <w:tcW w:w="1653" w:type="dxa"/>
            <w:vAlign w:val="center"/>
          </w:tcPr>
          <w:p w14:paraId="1D6A1C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b w:val="0"/>
                <w:bCs w:val="0"/>
                <w:i w:val="0"/>
                <w:iCs w:val="0"/>
                <w:color w:val="auto"/>
                <w:sz w:val="32"/>
                <w:szCs w:val="32"/>
                <w:u w:val="none"/>
                <w:lang w:val="en-US" w:eastAsia="zh-CN"/>
              </w:rPr>
              <w:t>5</w:t>
            </w:r>
          </w:p>
        </w:tc>
      </w:tr>
      <w:tr w14:paraId="60E57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42B43B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vertAlign w:val="baseline"/>
                <w:lang w:val="en-US" w:eastAsia="zh-CN"/>
                <w14:textFill>
                  <w14:solidFill>
                    <w14:schemeClr w14:val="tx1"/>
                  </w14:solidFill>
                </w14:textFill>
              </w:rPr>
              <w:t>4</w:t>
            </w:r>
          </w:p>
        </w:tc>
        <w:tc>
          <w:tcPr>
            <w:tcW w:w="2604" w:type="dxa"/>
          </w:tcPr>
          <w:p w14:paraId="31D9C0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医学影像技术</w:t>
            </w:r>
          </w:p>
        </w:tc>
        <w:tc>
          <w:tcPr>
            <w:tcW w:w="1560" w:type="dxa"/>
            <w:vAlign w:val="center"/>
          </w:tcPr>
          <w:p w14:paraId="0E63F9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b w:val="0"/>
                <w:bCs w:val="0"/>
                <w:i w:val="0"/>
                <w:iCs w:val="0"/>
                <w:color w:val="auto"/>
                <w:sz w:val="32"/>
                <w:szCs w:val="32"/>
                <w:u w:val="none"/>
                <w:lang w:val="en-US" w:eastAsia="zh-CN"/>
              </w:rPr>
              <w:t>3</w:t>
            </w:r>
          </w:p>
        </w:tc>
        <w:tc>
          <w:tcPr>
            <w:tcW w:w="1663" w:type="dxa"/>
            <w:vAlign w:val="center"/>
          </w:tcPr>
          <w:p w14:paraId="009D01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b w:val="0"/>
                <w:bCs w:val="0"/>
                <w:i w:val="0"/>
                <w:iCs w:val="0"/>
                <w:color w:val="auto"/>
                <w:sz w:val="32"/>
                <w:szCs w:val="32"/>
                <w:u w:val="none"/>
                <w:lang w:val="en-US" w:eastAsia="zh-CN"/>
              </w:rPr>
              <w:t>1</w:t>
            </w:r>
          </w:p>
        </w:tc>
        <w:tc>
          <w:tcPr>
            <w:tcW w:w="1653" w:type="dxa"/>
            <w:vAlign w:val="center"/>
          </w:tcPr>
          <w:p w14:paraId="7C4A24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 w:hAnsi="仿宋" w:eastAsia="仿宋" w:cs="仿宋"/>
                <w:color w:val="000000" w:themeColor="text1"/>
                <w:sz w:val="32"/>
                <w:szCs w:val="32"/>
                <w:vertAlign w:val="baseline"/>
                <w:lang w:val="en-US" w:eastAsia="zh-CN"/>
                <w14:textFill>
                  <w14:solidFill>
                    <w14:schemeClr w14:val="tx1"/>
                  </w14:solidFill>
                </w14:textFill>
              </w:rPr>
            </w:pPr>
            <w:r>
              <w:rPr>
                <w:rFonts w:hint="eastAsia" w:ascii="仿宋" w:hAnsi="仿宋" w:eastAsia="仿宋" w:cs="仿宋"/>
                <w:b w:val="0"/>
                <w:bCs w:val="0"/>
                <w:i w:val="0"/>
                <w:iCs w:val="0"/>
                <w:color w:val="auto"/>
                <w:sz w:val="32"/>
                <w:szCs w:val="32"/>
                <w:u w:val="none"/>
                <w:lang w:val="en-US" w:eastAsia="zh-CN"/>
              </w:rPr>
              <w:t>4</w:t>
            </w:r>
          </w:p>
        </w:tc>
      </w:tr>
      <w:tr w14:paraId="7D8BE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5" w:type="dxa"/>
            <w:gridSpan w:val="2"/>
          </w:tcPr>
          <w:p w14:paraId="4601AF0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合计</w:t>
            </w:r>
          </w:p>
        </w:tc>
        <w:tc>
          <w:tcPr>
            <w:tcW w:w="1560" w:type="dxa"/>
          </w:tcPr>
          <w:p w14:paraId="13438A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b w:val="0"/>
                <w:bCs w:val="0"/>
                <w:i w:val="0"/>
                <w:iCs w:val="0"/>
                <w:color w:val="auto"/>
                <w:sz w:val="32"/>
                <w:szCs w:val="32"/>
                <w:u w:val="none"/>
                <w:lang w:val="en-US" w:eastAsia="zh-CN"/>
              </w:rPr>
            </w:pPr>
            <w:r>
              <w:rPr>
                <w:rFonts w:hint="eastAsia" w:ascii="仿宋" w:hAnsi="仿宋" w:eastAsia="仿宋" w:cs="仿宋"/>
                <w:b w:val="0"/>
                <w:bCs w:val="0"/>
                <w:i w:val="0"/>
                <w:iCs w:val="0"/>
                <w:color w:val="auto"/>
                <w:sz w:val="32"/>
                <w:szCs w:val="32"/>
                <w:u w:val="none"/>
                <w:lang w:val="en-US" w:eastAsia="zh-CN"/>
              </w:rPr>
              <w:t>9</w:t>
            </w:r>
          </w:p>
        </w:tc>
        <w:tc>
          <w:tcPr>
            <w:tcW w:w="1663" w:type="dxa"/>
          </w:tcPr>
          <w:p w14:paraId="18C63D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b w:val="0"/>
                <w:bCs w:val="0"/>
                <w:i w:val="0"/>
                <w:iCs w:val="0"/>
                <w:color w:val="auto"/>
                <w:sz w:val="32"/>
                <w:szCs w:val="32"/>
                <w:u w:val="none"/>
                <w:lang w:val="en-US" w:eastAsia="zh-CN"/>
              </w:rPr>
            </w:pPr>
            <w:r>
              <w:rPr>
                <w:rFonts w:hint="eastAsia" w:ascii="仿宋" w:hAnsi="仿宋" w:eastAsia="仿宋" w:cs="仿宋"/>
                <w:b w:val="0"/>
                <w:bCs w:val="0"/>
                <w:i w:val="0"/>
                <w:iCs w:val="0"/>
                <w:color w:val="auto"/>
                <w:sz w:val="32"/>
                <w:szCs w:val="32"/>
                <w:u w:val="none"/>
                <w:lang w:val="en-US" w:eastAsia="zh-CN"/>
              </w:rPr>
              <w:t>8</w:t>
            </w:r>
          </w:p>
        </w:tc>
        <w:tc>
          <w:tcPr>
            <w:tcW w:w="1653" w:type="dxa"/>
          </w:tcPr>
          <w:p w14:paraId="16C31A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 w:hAnsi="仿宋" w:eastAsia="仿宋" w:cs="仿宋"/>
                <w:b w:val="0"/>
                <w:bCs w:val="0"/>
                <w:i w:val="0"/>
                <w:iCs w:val="0"/>
                <w:color w:val="auto"/>
                <w:sz w:val="32"/>
                <w:szCs w:val="32"/>
                <w:u w:val="none"/>
                <w:lang w:val="en-US" w:eastAsia="zh-CN"/>
              </w:rPr>
            </w:pPr>
            <w:r>
              <w:rPr>
                <w:rFonts w:hint="eastAsia" w:ascii="仿宋" w:hAnsi="仿宋" w:eastAsia="仿宋" w:cs="仿宋"/>
                <w:b w:val="0"/>
                <w:bCs w:val="0"/>
                <w:i w:val="0"/>
                <w:iCs w:val="0"/>
                <w:color w:val="auto"/>
                <w:sz w:val="32"/>
                <w:szCs w:val="32"/>
                <w:u w:val="none"/>
                <w:lang w:val="en-US" w:eastAsia="zh-CN"/>
              </w:rPr>
              <w:t>17</w:t>
            </w:r>
          </w:p>
        </w:tc>
      </w:tr>
    </w:tbl>
    <w:p w14:paraId="7A3126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二、转入报名条件</w:t>
      </w:r>
    </w:p>
    <w:p w14:paraId="40DC132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1.除满足《实施细则》第二章、第三章基本要求外，还需符合以下条件：</w:t>
      </w:r>
    </w:p>
    <w:p w14:paraId="523BBF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default" w:ascii="仿宋" w:hAnsi="仿宋" w:eastAsia="仿宋" w:cs="仿宋"/>
          <w:color w:val="000000" w:themeColor="text1"/>
          <w:kern w:val="2"/>
          <w:sz w:val="32"/>
          <w:szCs w:val="32"/>
          <w:lang w:val="en-US" w:eastAsia="zh-CN" w:bidi="ar-SA"/>
          <w14:textFill>
            <w14:solidFill>
              <w14:schemeClr w14:val="tx1"/>
            </w14:solidFill>
          </w14:textFill>
        </w:rPr>
        <w:t>专业知识扎实，能准确定位发展规划</w:t>
      </w:r>
      <w:r>
        <w:rPr>
          <w:rFonts w:hint="eastAsia" w:ascii="仿宋" w:hAnsi="仿宋" w:eastAsia="仿宋" w:cs="仿宋"/>
          <w:color w:val="000000" w:themeColor="text1"/>
          <w:kern w:val="2"/>
          <w:sz w:val="32"/>
          <w:szCs w:val="32"/>
          <w:lang w:val="en-US" w:eastAsia="zh-CN" w:bidi="ar-SA"/>
          <w14:textFill>
            <w14:solidFill>
              <w14:schemeClr w14:val="tx1"/>
            </w14:solidFill>
          </w14:textFill>
        </w:rPr>
        <w:t>；思想品德端正，有理</w:t>
      </w:r>
      <w:r>
        <w:rPr>
          <w:rFonts w:hint="eastAsia" w:ascii="仿宋" w:hAnsi="仿宋" w:eastAsia="仿宋" w:cs="仿宋"/>
          <w:color w:val="000000" w:themeColor="text1"/>
          <w:sz w:val="32"/>
          <w:szCs w:val="32"/>
          <w:lang w:val="en-US" w:eastAsia="zh-CN"/>
          <w14:textFill>
            <w14:solidFill>
              <w14:schemeClr w14:val="tx1"/>
            </w14:solidFill>
          </w14:textFill>
        </w:rPr>
        <w:t>想信念，展现良好的医德医风；对转入专业具有浓厚的兴趣，且有一定的了解，目标清晰明确；学习态度端正，学习勤奋刻苦；能合理规划时间，制定科学的学习计划，能将所学知识应用到实际生活中，有自主学习和终身学习的意识。</w:t>
      </w:r>
    </w:p>
    <w:p w14:paraId="1D3332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2.9月20日17:00前，申请转专业的同学将转专业申请表、转专业承诺书（见教务处主页“下载中心”），连同本人、家长身份证复印件和家长知情同意书交至大学生活动中心一楼基础医学院学生工作办公室。</w:t>
      </w:r>
    </w:p>
    <w:p w14:paraId="5F3372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黑体" w:hAnsi="黑体" w:eastAsia="黑体" w:cs="黑体"/>
          <w:sz w:val="32"/>
          <w:szCs w:val="32"/>
          <w:lang w:val="en-US" w:eastAsia="zh-CN"/>
        </w:rPr>
        <w:t>三、考核办法</w:t>
      </w:r>
    </w:p>
    <w:p w14:paraId="047FFF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default" w:ascii="仿宋" w:hAnsi="仿宋" w:eastAsia="仿宋" w:cs="仿宋"/>
          <w:color w:val="000000" w:themeColor="text1"/>
          <w:sz w:val="32"/>
          <w:szCs w:val="32"/>
          <w:lang w:val="en-US" w:eastAsia="zh-CN"/>
          <w14:textFill>
            <w14:solidFill>
              <w14:schemeClr w14:val="tx1"/>
            </w14:solidFill>
          </w14:textFill>
        </w:rPr>
        <w:t>（一）</w:t>
      </w:r>
      <w:r>
        <w:rPr>
          <w:rFonts w:hint="eastAsia" w:ascii="仿宋" w:hAnsi="仿宋" w:eastAsia="仿宋" w:cs="仿宋"/>
          <w:color w:val="000000" w:themeColor="text1"/>
          <w:sz w:val="32"/>
          <w:szCs w:val="32"/>
          <w:lang w:val="en-US" w:eastAsia="zh-CN"/>
          <w14:textFill>
            <w14:solidFill>
              <w14:schemeClr w14:val="tx1"/>
            </w14:solidFill>
          </w14:textFill>
        </w:rPr>
        <w:t>转入考核方式和内容</w:t>
      </w:r>
    </w:p>
    <w:p w14:paraId="617978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每位考生均须参加笔试、面试两个考核。</w:t>
      </w:r>
    </w:p>
    <w:p w14:paraId="340DFB5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w:t>
      </w:r>
      <w:r>
        <w:rPr>
          <w:rFonts w:hint="default" w:ascii="仿宋" w:hAnsi="仿宋" w:eastAsia="仿宋" w:cs="仿宋"/>
          <w:color w:val="000000" w:themeColor="text1"/>
          <w:sz w:val="32"/>
          <w:szCs w:val="32"/>
          <w:lang w:val="en-US" w:eastAsia="zh-CN"/>
          <w14:textFill>
            <w14:solidFill>
              <w14:schemeClr w14:val="tx1"/>
            </w14:solidFill>
          </w14:textFill>
        </w:rPr>
        <w:t>笔试</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default" w:ascii="仿宋" w:hAnsi="仿宋" w:eastAsia="仿宋" w:cs="仿宋"/>
          <w:color w:val="000000" w:themeColor="text1"/>
          <w:sz w:val="32"/>
          <w:szCs w:val="32"/>
          <w:lang w:val="en-US" w:eastAsia="zh-CN"/>
          <w14:textFill>
            <w14:solidFill>
              <w14:schemeClr w14:val="tx1"/>
            </w14:solidFill>
          </w14:textFill>
        </w:rPr>
        <w:t>学校教务处统一组织，考试</w:t>
      </w:r>
      <w:r>
        <w:rPr>
          <w:rFonts w:hint="eastAsia" w:ascii="仿宋" w:hAnsi="仿宋" w:eastAsia="仿宋" w:cs="仿宋"/>
          <w:color w:val="000000" w:themeColor="text1"/>
          <w:sz w:val="32"/>
          <w:szCs w:val="32"/>
          <w:lang w:val="en-US" w:eastAsia="zh-CN"/>
          <w14:textFill>
            <w14:solidFill>
              <w14:schemeClr w14:val="tx1"/>
            </w14:solidFill>
          </w14:textFill>
        </w:rPr>
        <w:t>科目见《广西中医药大学本科学生转专业考核课程一览表》。</w:t>
      </w:r>
    </w:p>
    <w:p w14:paraId="071654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default" w:ascii="仿宋" w:hAnsi="仿宋" w:eastAsia="仿宋" w:cs="仿宋"/>
          <w:color w:val="000000" w:themeColor="text1"/>
          <w:kern w:val="2"/>
          <w:sz w:val="32"/>
          <w:szCs w:val="32"/>
          <w:lang w:val="en-US" w:eastAsia="zh-CN" w:bidi="ar-SA"/>
          <w14:textFill>
            <w14:solidFill>
              <w14:schemeClr w14:val="tx1"/>
            </w14:solidFill>
          </w14:textFill>
        </w:rPr>
        <w:t>2.</w:t>
      </w:r>
      <w:r>
        <w:rPr>
          <w:rFonts w:hint="default" w:ascii="仿宋" w:hAnsi="仿宋" w:eastAsia="仿宋" w:cs="仿宋"/>
          <w:color w:val="000000" w:themeColor="text1"/>
          <w:sz w:val="32"/>
          <w:szCs w:val="32"/>
          <w:lang w:val="en-US" w:eastAsia="zh-CN"/>
          <w14:textFill>
            <w14:solidFill>
              <w14:schemeClr w14:val="tx1"/>
            </w14:solidFill>
          </w14:textFill>
        </w:rPr>
        <w:t>面试</w:t>
      </w:r>
      <w:r>
        <w:rPr>
          <w:rFonts w:hint="eastAsia" w:ascii="仿宋" w:hAnsi="仿宋" w:eastAsia="仿宋" w:cs="仿宋"/>
          <w:color w:val="000000" w:themeColor="text1"/>
          <w:sz w:val="32"/>
          <w:szCs w:val="32"/>
          <w:lang w:val="en-US" w:eastAsia="zh-CN"/>
          <w14:textFill>
            <w14:solidFill>
              <w14:schemeClr w14:val="tx1"/>
            </w14:solidFill>
          </w14:textFill>
        </w:rPr>
        <w:t>：</w:t>
      </w:r>
      <w:bookmarkStart w:id="0" w:name="_GoBack"/>
      <w:bookmarkEnd w:id="0"/>
      <w:r>
        <w:rPr>
          <w:rFonts w:hint="default" w:ascii="仿宋" w:hAnsi="仿宋" w:eastAsia="仿宋" w:cs="仿宋"/>
          <w:color w:val="000000" w:themeColor="text1"/>
          <w:sz w:val="32"/>
          <w:szCs w:val="32"/>
          <w:lang w:val="en-US" w:eastAsia="zh-CN"/>
          <w14:textFill>
            <w14:solidFill>
              <w14:schemeClr w14:val="tx1"/>
            </w14:solidFill>
          </w14:textFill>
        </w:rPr>
        <w:t>采用结构化面试方式，</w:t>
      </w:r>
      <w:r>
        <w:rPr>
          <w:rFonts w:hint="eastAsia" w:ascii="仿宋" w:hAnsi="仿宋" w:eastAsia="仿宋" w:cs="仿宋"/>
          <w:color w:val="auto"/>
          <w:sz w:val="32"/>
          <w:szCs w:val="32"/>
          <w:lang w:val="en-US" w:eastAsia="zh-CN"/>
        </w:rPr>
        <w:t>每位考生面试时间为5分钟。</w:t>
      </w:r>
      <w:r>
        <w:rPr>
          <w:rFonts w:hint="default" w:ascii="仿宋" w:hAnsi="仿宋" w:eastAsia="仿宋" w:cs="仿宋"/>
          <w:color w:val="auto"/>
          <w:sz w:val="32"/>
          <w:szCs w:val="32"/>
          <w:lang w:val="en-US" w:eastAsia="zh-CN"/>
        </w:rPr>
        <w:t>包括</w:t>
      </w:r>
      <w:r>
        <w:rPr>
          <w:rFonts w:hint="eastAsia" w:ascii="仿宋" w:hAnsi="仿宋" w:eastAsia="仿宋" w:cs="仿宋"/>
          <w:color w:val="auto"/>
          <w:sz w:val="32"/>
          <w:szCs w:val="32"/>
          <w:lang w:val="en-US" w:eastAsia="zh-CN"/>
        </w:rPr>
        <w:t>1分钟</w:t>
      </w:r>
      <w:r>
        <w:rPr>
          <w:rFonts w:hint="default" w:ascii="仿宋" w:hAnsi="仿宋" w:eastAsia="仿宋" w:cs="仿宋"/>
          <w:color w:val="auto"/>
          <w:sz w:val="32"/>
          <w:szCs w:val="32"/>
          <w:lang w:val="en-US" w:eastAsia="zh-CN"/>
        </w:rPr>
        <w:t>自我介绍、思</w:t>
      </w:r>
      <w:r>
        <w:rPr>
          <w:rFonts w:hint="default" w:ascii="仿宋" w:hAnsi="仿宋" w:eastAsia="仿宋" w:cs="仿宋"/>
          <w:color w:val="000000" w:themeColor="text1"/>
          <w:sz w:val="32"/>
          <w:szCs w:val="32"/>
          <w:lang w:val="en-US" w:eastAsia="zh-CN"/>
          <w14:textFill>
            <w14:solidFill>
              <w14:schemeClr w14:val="tx1"/>
            </w14:solidFill>
          </w14:textFill>
        </w:rPr>
        <w:t>想品德考核、学习能力考核三个环节。思想品德考题围绕专业特点，重点考核申请转专业的目的、专业兴趣、对医德医风的</w:t>
      </w:r>
      <w:r>
        <w:rPr>
          <w:rFonts w:hint="eastAsia" w:ascii="仿宋" w:hAnsi="仿宋" w:eastAsia="仿宋" w:cs="仿宋"/>
          <w:color w:val="000000" w:themeColor="text1"/>
          <w:sz w:val="32"/>
          <w:szCs w:val="32"/>
          <w:lang w:val="en-US" w:eastAsia="zh-CN"/>
          <w14:textFill>
            <w14:solidFill>
              <w14:schemeClr w14:val="tx1"/>
            </w14:solidFill>
          </w14:textFill>
        </w:rPr>
        <w:t>认知</w:t>
      </w:r>
      <w:r>
        <w:rPr>
          <w:rFonts w:hint="default" w:ascii="仿宋" w:hAnsi="仿宋" w:eastAsia="仿宋" w:cs="仿宋"/>
          <w:color w:val="000000" w:themeColor="text1"/>
          <w:sz w:val="32"/>
          <w:szCs w:val="32"/>
          <w:lang w:val="en-US" w:eastAsia="zh-CN"/>
          <w14:textFill>
            <w14:solidFill>
              <w14:schemeClr w14:val="tx1"/>
            </w14:solidFill>
          </w14:textFill>
        </w:rPr>
        <w:t>及今后的努力方向等。学习能力考</w:t>
      </w:r>
      <w:r>
        <w:rPr>
          <w:rFonts w:hint="eastAsia" w:ascii="仿宋" w:hAnsi="仿宋" w:eastAsia="仿宋" w:cs="仿宋"/>
          <w:color w:val="000000" w:themeColor="text1"/>
          <w:sz w:val="32"/>
          <w:szCs w:val="32"/>
          <w:lang w:val="en-US" w:eastAsia="zh-CN"/>
          <w14:textFill>
            <w14:solidFill>
              <w14:schemeClr w14:val="tx1"/>
            </w14:solidFill>
          </w14:textFill>
        </w:rPr>
        <w:t>题围绕学习态度、</w:t>
      </w:r>
      <w:r>
        <w:rPr>
          <w:rFonts w:hint="default" w:ascii="仿宋" w:hAnsi="仿宋" w:eastAsia="仿宋" w:cs="仿宋"/>
          <w:color w:val="000000" w:themeColor="text1"/>
          <w:sz w:val="32"/>
          <w:szCs w:val="32"/>
          <w:lang w:val="en-US" w:eastAsia="zh-CN"/>
          <w14:textFill>
            <w14:solidFill>
              <w14:schemeClr w14:val="tx1"/>
            </w14:solidFill>
          </w14:textFill>
        </w:rPr>
        <w:t>时间管理与计划性</w:t>
      </w:r>
      <w:r>
        <w:rPr>
          <w:rFonts w:hint="eastAsia" w:ascii="仿宋" w:hAnsi="仿宋" w:eastAsia="仿宋" w:cs="仿宋"/>
          <w:color w:val="000000" w:themeColor="text1"/>
          <w:sz w:val="32"/>
          <w:szCs w:val="32"/>
          <w:lang w:val="en-US" w:eastAsia="zh-CN"/>
          <w14:textFill>
            <w14:solidFill>
              <w14:schemeClr w14:val="tx1"/>
            </w14:solidFill>
          </w14:textFill>
        </w:rPr>
        <w:t>、解决问题能力、自主学习意识</w:t>
      </w:r>
      <w:r>
        <w:rPr>
          <w:rFonts w:hint="eastAsia" w:ascii="仿宋" w:hAnsi="仿宋" w:eastAsia="仿宋" w:cs="仿宋"/>
          <w:color w:val="auto"/>
          <w:sz w:val="32"/>
          <w:szCs w:val="32"/>
          <w:lang w:val="en-US" w:eastAsia="zh-CN"/>
        </w:rPr>
        <w:t>、医疗数智化等。</w:t>
      </w:r>
      <w:r>
        <w:rPr>
          <w:rFonts w:hint="default" w:ascii="仿宋" w:hAnsi="仿宋" w:eastAsia="仿宋" w:cs="仿宋"/>
          <w:color w:val="auto"/>
          <w:sz w:val="32"/>
          <w:szCs w:val="32"/>
          <w:lang w:val="en-US" w:eastAsia="zh-CN"/>
        </w:rPr>
        <w:t>思想品德考核</w:t>
      </w:r>
      <w:r>
        <w:rPr>
          <w:rFonts w:hint="eastAsia" w:ascii="仿宋" w:hAnsi="仿宋" w:eastAsia="仿宋" w:cs="仿宋"/>
          <w:color w:val="auto"/>
          <w:sz w:val="32"/>
          <w:szCs w:val="32"/>
          <w:lang w:val="en-US" w:eastAsia="zh-CN"/>
        </w:rPr>
        <w:t>和</w:t>
      </w:r>
      <w:r>
        <w:rPr>
          <w:rFonts w:hint="default" w:ascii="仿宋" w:hAnsi="仿宋" w:eastAsia="仿宋" w:cs="仿宋"/>
          <w:color w:val="auto"/>
          <w:sz w:val="32"/>
          <w:szCs w:val="32"/>
          <w:lang w:val="en-US" w:eastAsia="zh-CN"/>
        </w:rPr>
        <w:t>学习能力考核</w:t>
      </w:r>
      <w:r>
        <w:rPr>
          <w:rFonts w:hint="eastAsia" w:ascii="仿宋" w:hAnsi="仿宋" w:eastAsia="仿宋" w:cs="仿宋"/>
          <w:color w:val="auto"/>
          <w:sz w:val="32"/>
          <w:szCs w:val="32"/>
          <w:lang w:val="en-US" w:eastAsia="zh-CN"/>
        </w:rPr>
        <w:t>采取现场抽题的方式，各回答1个问题。</w:t>
      </w:r>
    </w:p>
    <w:p w14:paraId="0C7B83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default" w:ascii="仿宋" w:hAnsi="仿宋" w:eastAsia="仿宋" w:cs="仿宋"/>
          <w:color w:val="000000" w:themeColor="text1"/>
          <w:sz w:val="32"/>
          <w:szCs w:val="32"/>
          <w:lang w:val="en-US" w:eastAsia="zh-CN"/>
          <w14:textFill>
            <w14:solidFill>
              <w14:schemeClr w14:val="tx1"/>
            </w14:solidFill>
          </w14:textFill>
        </w:rPr>
        <w:t>报名人数超过接收人数2倍时，按</w:t>
      </w:r>
      <w:r>
        <w:rPr>
          <w:rFonts w:hint="eastAsia" w:ascii="仿宋" w:hAnsi="仿宋" w:eastAsia="仿宋" w:cs="仿宋"/>
          <w:color w:val="000000" w:themeColor="text1"/>
          <w:sz w:val="32"/>
          <w:szCs w:val="32"/>
          <w:lang w:val="en-US" w:eastAsia="zh-CN"/>
          <w14:textFill>
            <w14:solidFill>
              <w14:schemeClr w14:val="tx1"/>
            </w14:solidFill>
          </w14:textFill>
        </w:rPr>
        <w:t>申请转入年级的</w:t>
      </w:r>
      <w:r>
        <w:rPr>
          <w:rFonts w:hint="default" w:ascii="仿宋" w:hAnsi="仿宋" w:eastAsia="仿宋" w:cs="仿宋"/>
          <w:color w:val="000000" w:themeColor="text1"/>
          <w:sz w:val="32"/>
          <w:szCs w:val="32"/>
          <w:lang w:val="en-US" w:eastAsia="zh-CN"/>
          <w14:textFill>
            <w14:solidFill>
              <w14:schemeClr w14:val="tx1"/>
            </w14:solidFill>
          </w14:textFill>
        </w:rPr>
        <w:t>笔试成绩</w:t>
      </w:r>
      <w:r>
        <w:rPr>
          <w:rFonts w:hint="eastAsia" w:ascii="仿宋" w:hAnsi="仿宋" w:eastAsia="仿宋" w:cs="仿宋"/>
          <w:color w:val="000000" w:themeColor="text1"/>
          <w:sz w:val="32"/>
          <w:szCs w:val="32"/>
          <w:lang w:val="en-US" w:eastAsia="zh-CN"/>
          <w14:textFill>
            <w14:solidFill>
              <w14:schemeClr w14:val="tx1"/>
            </w14:solidFill>
          </w14:textFill>
        </w:rPr>
        <w:t>排名</w:t>
      </w:r>
      <w:r>
        <w:rPr>
          <w:rFonts w:hint="default" w:ascii="仿宋" w:hAnsi="仿宋" w:eastAsia="仿宋" w:cs="仿宋"/>
          <w:color w:val="000000" w:themeColor="text1"/>
          <w:sz w:val="32"/>
          <w:szCs w:val="32"/>
          <w:lang w:val="en-US" w:eastAsia="zh-CN"/>
          <w14:textFill>
            <w14:solidFill>
              <w14:schemeClr w14:val="tx1"/>
            </w14:solidFill>
          </w14:textFill>
        </w:rPr>
        <w:t>前200%确定面试名单。</w:t>
      </w:r>
    </w:p>
    <w:p w14:paraId="67CD70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面试时间、地点：以学校具体通知为准。</w:t>
      </w:r>
    </w:p>
    <w:p w14:paraId="03AF1E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（二）</w:t>
      </w:r>
      <w:r>
        <w:rPr>
          <w:rFonts w:hint="eastAsia" w:ascii="仿宋" w:hAnsi="仿宋" w:eastAsia="仿宋" w:cs="仿宋"/>
          <w:color w:val="000000" w:themeColor="text1"/>
          <w:sz w:val="32"/>
          <w:szCs w:val="32"/>
          <w:lang w:val="en-US" w:eastAsia="zh-CN"/>
          <w14:textFill>
            <w14:solidFill>
              <w14:schemeClr w14:val="tx1"/>
            </w14:solidFill>
          </w14:textFill>
        </w:rPr>
        <w:t>录取原则</w:t>
      </w:r>
    </w:p>
    <w:p w14:paraId="4AFAF98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000000" w:themeColor="text1"/>
          <w:sz w:val="32"/>
          <w:szCs w:val="32"/>
          <w:lang w:val="en-US" w:eastAsia="zh-CN"/>
          <w14:textFill>
            <w14:solidFill>
              <w14:schemeClr w14:val="tx1"/>
            </w14:solidFill>
          </w14:textFill>
        </w:rPr>
        <w:t>笔试、面试满分均按百分制计算。最终成绩按理论和面试成绩各占50%计入，按申请转入年级分别排序，以最终成绩由高到低确定拟转入学生名单。</w:t>
      </w:r>
      <w:r>
        <w:rPr>
          <w:rFonts w:hint="eastAsia" w:ascii="仿宋" w:hAnsi="仿宋" w:eastAsia="仿宋" w:cs="仿宋"/>
          <w:color w:val="auto"/>
          <w:sz w:val="32"/>
          <w:szCs w:val="32"/>
          <w:lang w:val="en-US" w:eastAsia="zh-CN"/>
        </w:rPr>
        <w:t>若面试考核分数低于60分则不予录取。</w:t>
      </w:r>
    </w:p>
    <w:p w14:paraId="39E936E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若最终成绩相同，则按以下顺序优先录取：</w:t>
      </w:r>
    </w:p>
    <w:p w14:paraId="70ED2A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1.2025-2026学年所修课程无不及格记录者优先。</w:t>
      </w:r>
    </w:p>
    <w:p w14:paraId="145E4F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kern w:val="2"/>
          <w:sz w:val="32"/>
          <w:szCs w:val="32"/>
          <w:lang w:val="en-US" w:eastAsia="zh-CN" w:bidi="ar-SA"/>
        </w:rPr>
        <w:t>2.</w:t>
      </w:r>
      <w:r>
        <w:rPr>
          <w:rFonts w:hint="eastAsia" w:ascii="仿宋" w:hAnsi="仿宋" w:eastAsia="仿宋" w:cs="仿宋"/>
          <w:color w:val="auto"/>
          <w:sz w:val="32"/>
          <w:szCs w:val="32"/>
          <w:lang w:val="en-US" w:eastAsia="zh-CN"/>
        </w:rPr>
        <w:t>如均无不及格记录，则以2025-2026学年的必修课加权平均学分成绩进行排名，成绩高者优先。必修课加权平均学分成绩计算公式如下:</w:t>
      </w:r>
    </w:p>
    <w:p w14:paraId="24211C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成绩保留至小数点后两位。</w:t>
      </w:r>
      <w:r>
        <w:rPr>
          <w:color w:val="auto"/>
        </w:rPr>
        <w:drawing>
          <wp:anchor distT="0" distB="0" distL="114300" distR="114300" simplePos="0" relativeHeight="251659264" behindDoc="0" locked="0" layoutInCell="1" allowOverlap="1">
            <wp:simplePos x="0" y="0"/>
            <wp:positionH relativeFrom="column">
              <wp:posOffset>-229870</wp:posOffset>
            </wp:positionH>
            <wp:positionV relativeFrom="paragraph">
              <wp:posOffset>201930</wp:posOffset>
            </wp:positionV>
            <wp:extent cx="5270500" cy="781050"/>
            <wp:effectExtent l="0" t="0" r="6350" b="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70500" cy="781050"/>
                    </a:xfrm>
                    <a:prstGeom prst="rect">
                      <a:avLst/>
                    </a:prstGeom>
                    <a:noFill/>
                    <a:ln>
                      <a:noFill/>
                    </a:ln>
                  </pic:spPr>
                </pic:pic>
              </a:graphicData>
            </a:graphic>
          </wp:anchor>
        </w:drawing>
      </w:r>
    </w:p>
    <w:p w14:paraId="1179062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四、联系方式</w:t>
      </w:r>
    </w:p>
    <w:p w14:paraId="6B4702F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联系人：李老师</w:t>
      </w:r>
    </w:p>
    <w:p w14:paraId="068C7FE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电话：0771-2326951</w:t>
      </w:r>
    </w:p>
    <w:p w14:paraId="15A902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14:paraId="6A9539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p>
    <w:p w14:paraId="52008A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广西中医药大学第二临床医学院</w:t>
      </w:r>
    </w:p>
    <w:p w14:paraId="5B4E87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 xml:space="preserve">                       2026年9月17日</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5E9D80-05D3-4BBB-B5B0-6E7FE2D31AE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4A85BDEC-394D-4F24-8BCC-1A8100271C39}"/>
  </w:font>
  <w:font w:name="仿宋">
    <w:panose1 w:val="02010609060101010101"/>
    <w:charset w:val="86"/>
    <w:family w:val="modern"/>
    <w:pitch w:val="default"/>
    <w:sig w:usb0="800002BF" w:usb1="38CF7CFA" w:usb2="00000016" w:usb3="00000000" w:csb0="00040001" w:csb1="00000000"/>
    <w:embedRegular r:id="rId3" w:fontKey="{03C8AAD3-0C76-4091-9C8B-874CE0ACEFC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1CD0D">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5A49DC">
                          <w:pPr>
                            <w:pStyle w:val="3"/>
                            <w:rPr>
                              <w:rFonts w:hint="eastAsia" w:ascii="宋体" w:hAnsi="宋体" w:eastAsia="宋体" w:cs="宋体"/>
                              <w:sz w:val="20"/>
                              <w:szCs w:val="28"/>
                            </w:rPr>
                          </w:pPr>
                          <w:r>
                            <w:rPr>
                              <w:rFonts w:hint="eastAsia" w:ascii="宋体" w:hAnsi="宋体" w:eastAsia="宋体" w:cs="宋体"/>
                              <w:sz w:val="20"/>
                              <w:szCs w:val="28"/>
                            </w:rPr>
                            <w:fldChar w:fldCharType="begin"/>
                          </w:r>
                          <w:r>
                            <w:rPr>
                              <w:rFonts w:hint="eastAsia" w:ascii="宋体" w:hAnsi="宋体" w:eastAsia="宋体" w:cs="宋体"/>
                              <w:sz w:val="20"/>
                              <w:szCs w:val="28"/>
                            </w:rPr>
                            <w:instrText xml:space="preserve"> PAGE  \* MERGEFORMAT </w:instrText>
                          </w:r>
                          <w:r>
                            <w:rPr>
                              <w:rFonts w:hint="eastAsia" w:ascii="宋体" w:hAnsi="宋体" w:eastAsia="宋体" w:cs="宋体"/>
                              <w:sz w:val="20"/>
                              <w:szCs w:val="28"/>
                            </w:rPr>
                            <w:fldChar w:fldCharType="separate"/>
                          </w:r>
                          <w:r>
                            <w:rPr>
                              <w:rFonts w:hint="eastAsia" w:ascii="宋体" w:hAnsi="宋体" w:eastAsia="宋体" w:cs="宋体"/>
                              <w:sz w:val="20"/>
                              <w:szCs w:val="28"/>
                            </w:rPr>
                            <w:t>1</w:t>
                          </w:r>
                          <w:r>
                            <w:rPr>
                              <w:rFonts w:hint="eastAsia" w:ascii="宋体" w:hAnsi="宋体" w:eastAsia="宋体" w:cs="宋体"/>
                              <w:sz w:val="20"/>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95A49DC">
                    <w:pPr>
                      <w:pStyle w:val="3"/>
                      <w:rPr>
                        <w:rFonts w:hint="eastAsia" w:ascii="宋体" w:hAnsi="宋体" w:eastAsia="宋体" w:cs="宋体"/>
                        <w:sz w:val="20"/>
                        <w:szCs w:val="28"/>
                      </w:rPr>
                    </w:pPr>
                    <w:r>
                      <w:rPr>
                        <w:rFonts w:hint="eastAsia" w:ascii="宋体" w:hAnsi="宋体" w:eastAsia="宋体" w:cs="宋体"/>
                        <w:sz w:val="20"/>
                        <w:szCs w:val="28"/>
                      </w:rPr>
                      <w:fldChar w:fldCharType="begin"/>
                    </w:r>
                    <w:r>
                      <w:rPr>
                        <w:rFonts w:hint="eastAsia" w:ascii="宋体" w:hAnsi="宋体" w:eastAsia="宋体" w:cs="宋体"/>
                        <w:sz w:val="20"/>
                        <w:szCs w:val="28"/>
                      </w:rPr>
                      <w:instrText xml:space="preserve"> PAGE  \* MERGEFORMAT </w:instrText>
                    </w:r>
                    <w:r>
                      <w:rPr>
                        <w:rFonts w:hint="eastAsia" w:ascii="宋体" w:hAnsi="宋体" w:eastAsia="宋体" w:cs="宋体"/>
                        <w:sz w:val="20"/>
                        <w:szCs w:val="28"/>
                      </w:rPr>
                      <w:fldChar w:fldCharType="separate"/>
                    </w:r>
                    <w:r>
                      <w:rPr>
                        <w:rFonts w:hint="eastAsia" w:ascii="宋体" w:hAnsi="宋体" w:eastAsia="宋体" w:cs="宋体"/>
                        <w:sz w:val="20"/>
                        <w:szCs w:val="28"/>
                      </w:rPr>
                      <w:t>1</w:t>
                    </w:r>
                    <w:r>
                      <w:rPr>
                        <w:rFonts w:hint="eastAsia" w:ascii="宋体" w:hAnsi="宋体" w:eastAsia="宋体" w:cs="宋体"/>
                        <w:sz w:val="20"/>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493427"/>
    <w:rsid w:val="06891846"/>
    <w:rsid w:val="0D2F7FC4"/>
    <w:rsid w:val="11423704"/>
    <w:rsid w:val="13081E94"/>
    <w:rsid w:val="1573694A"/>
    <w:rsid w:val="17AB0ECD"/>
    <w:rsid w:val="182B7237"/>
    <w:rsid w:val="1C4B1B24"/>
    <w:rsid w:val="1E4435CF"/>
    <w:rsid w:val="1EF678C2"/>
    <w:rsid w:val="26674CC3"/>
    <w:rsid w:val="272E2055"/>
    <w:rsid w:val="27B17FB8"/>
    <w:rsid w:val="2AA464D3"/>
    <w:rsid w:val="2C7176F9"/>
    <w:rsid w:val="2CBC077F"/>
    <w:rsid w:val="2DCC24CB"/>
    <w:rsid w:val="316518EA"/>
    <w:rsid w:val="31B935CC"/>
    <w:rsid w:val="32D4316F"/>
    <w:rsid w:val="335B4D4D"/>
    <w:rsid w:val="341B68C1"/>
    <w:rsid w:val="36B07F43"/>
    <w:rsid w:val="37493427"/>
    <w:rsid w:val="38756B81"/>
    <w:rsid w:val="3BDA57F0"/>
    <w:rsid w:val="3CA05643"/>
    <w:rsid w:val="417C4434"/>
    <w:rsid w:val="46734DDC"/>
    <w:rsid w:val="473A641F"/>
    <w:rsid w:val="49934A8F"/>
    <w:rsid w:val="4B4339B2"/>
    <w:rsid w:val="4BF368DB"/>
    <w:rsid w:val="4C916C2A"/>
    <w:rsid w:val="4CA92C30"/>
    <w:rsid w:val="54584DC9"/>
    <w:rsid w:val="55AE35C0"/>
    <w:rsid w:val="586F3BB1"/>
    <w:rsid w:val="59DC20FA"/>
    <w:rsid w:val="5CC0019D"/>
    <w:rsid w:val="5EDA1D1F"/>
    <w:rsid w:val="5FFF6AED"/>
    <w:rsid w:val="64536DBB"/>
    <w:rsid w:val="6C920E9E"/>
    <w:rsid w:val="6CCC3C0D"/>
    <w:rsid w:val="6E1F2F33"/>
    <w:rsid w:val="6F8A6B01"/>
    <w:rsid w:val="72715ED6"/>
    <w:rsid w:val="74BA43CA"/>
    <w:rsid w:val="756C763D"/>
    <w:rsid w:val="78BB6AF2"/>
    <w:rsid w:val="79EE5F19"/>
    <w:rsid w:val="7B556CFF"/>
    <w:rsid w:val="7BFC41AE"/>
    <w:rsid w:val="7C5C4760"/>
    <w:rsid w:val="7DF929EF"/>
    <w:rsid w:val="7E115051"/>
    <w:rsid w:val="7E6F40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1055</Words>
  <Characters>1133</Characters>
  <Lines>0</Lines>
  <Paragraphs>0</Paragraphs>
  <TotalTime>4</TotalTime>
  <ScaleCrop>false</ScaleCrop>
  <LinksUpToDate>false</LinksUpToDate>
  <CharactersWithSpaces>1196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2025-07-02T02:00:00Z</dcterms:created>
  <dc:creator>覃觅</dc:creator>
  <cp:lastModifiedBy>罗婕</cp:lastModifiedBy>
  <cp:lastPrinted>2025-09-12T07:27:00Z</cp:lastPrinted>
  <dcterms:modified xsi:type="dcterms:W3CDTF">2026-09-17T11:10:26Z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B3179D6DD3DB4CCCA3F51270A86FAD5C_13</vt:lpwstr>
  </property>
  <property fmtid="{D5CDD505-2E9C-101B-9397-08002B2CF9AE}" pid="4" name="KSOTemplateDocerSaveRecord">
    <vt:lpwstr>eyJoZGlkIjoiZWQ1NmI2ODc4ZTU2ODJjMjA0OWNkZGNhZTczZTE5MzkiLCJ1c2VySWQiOiIzNjA3MTMwNTEifQ==</vt:lpwstr>
  </property>
</Properties>
</file>