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附件</w:t>
      </w:r>
      <w:r>
        <w:rPr>
          <w:rFonts w:hint="eastAsia" w:ascii="仿宋_GB2312" w:hAnsi="仿宋_GB2312" w:eastAsia="仿宋_GB2312" w:cs="仿宋_GB2312"/>
          <w:color w:val="auto"/>
          <w:sz w:val="32"/>
          <w:szCs w:val="32"/>
          <w:lang w:val="en-US" w:eastAsia="zh-CN"/>
        </w:rPr>
        <w:t>1</w:t>
      </w:r>
      <w:bookmarkStart w:id="4" w:name="_GoBack"/>
      <w:bookmarkEnd w:id="4"/>
    </w:p>
    <w:p>
      <w:pPr>
        <w:snapToGrid w:val="0"/>
        <w:spacing w:line="660" w:lineRule="exact"/>
        <w:jc w:val="center"/>
        <w:rPr>
          <w:rFonts w:hint="eastAsia" w:ascii="方正大标宋_GBK" w:eastAsia="方正大标宋_GBK"/>
          <w:color w:val="FF0000"/>
          <w:sz w:val="64"/>
          <w:szCs w:val="64"/>
        </w:rPr>
      </w:pPr>
      <w:r>
        <w:rPr>
          <w:rFonts w:hint="eastAsia" w:ascii="方正大标宋_GBK" w:eastAsia="方正大标宋_GBK"/>
          <w:color w:val="FF0000"/>
          <w:spacing w:val="60"/>
          <w:sz w:val="64"/>
          <w:szCs w:val="64"/>
        </w:rPr>
        <w:t>广西壮族自治</w:t>
      </w:r>
      <w:r>
        <w:rPr>
          <w:rFonts w:hint="eastAsia" w:ascii="方正大标宋_GBK" w:eastAsia="方正大标宋_GBK"/>
          <w:color w:val="FF0000"/>
          <w:sz w:val="64"/>
          <w:szCs w:val="64"/>
        </w:rPr>
        <w:t>区</w:t>
      </w:r>
    </w:p>
    <w:p>
      <w:pPr>
        <w:spacing w:before="179" w:beforeLines="30"/>
        <w:jc w:val="center"/>
        <w:rPr>
          <w:rFonts w:hint="eastAsia" w:ascii="方正大标宋_GBK" w:eastAsia="方正大标宋_GBK"/>
          <w:color w:val="FF0000"/>
          <w:w w:val="88"/>
          <w:sz w:val="64"/>
          <w:szCs w:val="64"/>
        </w:rPr>
      </w:pPr>
      <w:r>
        <w:rPr>
          <w:rFonts w:hint="eastAsia" w:ascii="方正大标宋_GBK" w:eastAsia="方正大标宋_GBK"/>
          <w:color w:val="FF0000"/>
          <w:w w:val="88"/>
          <w:sz w:val="64"/>
          <w:szCs w:val="64"/>
        </w:rPr>
        <w:t>职称改革工作领导小组办公室文件</w:t>
      </w:r>
    </w:p>
    <w:p>
      <w:pPr>
        <w:rPr>
          <w:rFonts w:hint="eastAsia"/>
        </w:rPr>
      </w:pPr>
    </w:p>
    <w:p>
      <w:pPr>
        <w:jc w:val="center"/>
        <w:rPr>
          <w:color w:val="000000"/>
          <w:sz w:val="32"/>
          <w:szCs w:val="32"/>
        </w:rPr>
      </w:pPr>
      <w:r>
        <w:rPr>
          <w:rFonts w:hint="eastAsia"/>
          <w:color w:val="000000"/>
          <w:sz w:val="32"/>
          <w:szCs w:val="32"/>
        </w:rPr>
        <w:t>桂职</w:t>
      </w:r>
      <w:r>
        <w:rPr>
          <w:color w:val="000000"/>
          <w:sz w:val="32"/>
          <w:szCs w:val="32"/>
        </w:rPr>
        <w:t>办〔2021〕</w:t>
      </w:r>
      <w:r>
        <w:rPr>
          <w:kern w:val="0"/>
          <w:sz w:val="32"/>
          <w:szCs w:val="32"/>
          <w:lang w:val="en-US" w:eastAsia="zh-CN"/>
        </w:rPr>
        <w:t>24</w:t>
      </w:r>
      <w:r>
        <w:rPr>
          <w:color w:val="000000"/>
          <w:sz w:val="32"/>
          <w:szCs w:val="32"/>
        </w:rPr>
        <w:t>号</w:t>
      </w:r>
    </w:p>
    <w:p>
      <w:pPr>
        <w:spacing w:line="700" w:lineRule="exact"/>
        <w:jc w:val="center"/>
        <w:rPr>
          <w:rFonts w:hint="eastAsia" w:ascii="宋体" w:hAnsi="宋体"/>
          <w:color w:val="000000"/>
          <w:sz w:val="36"/>
          <w:szCs w:val="36"/>
        </w:rPr>
      </w:pPr>
      <w:r>
        <w:rPr>
          <w:rFonts w:hint="eastAsia"/>
          <w:color w:val="000000"/>
          <w:lang w:val="en-US" w:eastAsia="zh-CN"/>
        </w:rPr>
        <mc:AlternateContent>
          <mc:Choice Requires="wps">
            <w:drawing>
              <wp:anchor distT="0" distB="0" distL="114300" distR="114300" simplePos="0" relativeHeight="1024" behindDoc="0" locked="0" layoutInCell="1" allowOverlap="1">
                <wp:simplePos x="0" y="0"/>
                <wp:positionH relativeFrom="column">
                  <wp:posOffset>5080</wp:posOffset>
                </wp:positionH>
                <wp:positionV relativeFrom="paragraph">
                  <wp:posOffset>22860</wp:posOffset>
                </wp:positionV>
                <wp:extent cx="5687695" cy="0"/>
                <wp:effectExtent l="0" t="0" r="0" b="0"/>
                <wp:wrapNone/>
                <wp:docPr id="1" name="直线 21"/>
                <wp:cNvGraphicFramePr/>
                <a:graphic xmlns:a="http://schemas.openxmlformats.org/drawingml/2006/main">
                  <a:graphicData uri="http://schemas.microsoft.com/office/word/2010/wordprocessingShape">
                    <wps:wsp>
                      <wps:cNvCnPr/>
                      <wps:spPr>
                        <a:xfrm>
                          <a:off x="0" y="0"/>
                          <a:ext cx="5687695" cy="0"/>
                        </a:xfrm>
                        <a:prstGeom prst="line">
                          <a:avLst/>
                        </a:prstGeom>
                        <a:noFill/>
                        <a:ln w="43180" cap="flat" cmpd="sng">
                          <a:solidFill>
                            <a:srgbClr val="FF0000"/>
                          </a:solidFill>
                          <a:prstDash val="solid"/>
                          <a:miter/>
                        </a:ln>
                      </wps:spPr>
                      <wps:bodyPr vert="horz" wrap="square" lIns="91440" tIns="45720" rIns="91440" bIns="45720" anchor="t" anchorCtr="0" upright="1">
                        <a:noAutofit/>
                      </wps:bodyPr>
                    </wps:wsp>
                  </a:graphicData>
                </a:graphic>
              </wp:anchor>
            </w:drawing>
          </mc:Choice>
          <mc:Fallback>
            <w:pict>
              <v:line id="直线 21" o:spid="_x0000_s1026" o:spt="20" style="position:absolute;left:0pt;margin-left:0.4pt;margin-top:1.8pt;height:0pt;width:447.85pt;z-index:1024;mso-width-relative:page;mso-height-relative:page;" filled="f" stroked="t" coordsize="21600,21600" o:gfxdata="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OtNt4dQAAAAEAQAADwAAAAAAAAABACAAAAAiAAAAZHJzL2Rvd25yZXYueG1s&#10;UEsBAhQAFAAAAAgAh07iQEm4w6X8AQAA0QMAAA4AAAAAAAAAAQAgAAAAIwEAAGRycy9lMm9Eb2Mu&#10;eG1sUEsFBgAAAAAGAAYAWQEAAJEFAAAAAA==&#10;">
                <v:fill on="f" focussize="0,0"/>
                <v:stroke weight="3.4pt" color="#FF0000" joinstyle="miter"/>
                <v:imagedata o:title=""/>
                <o:lock v:ext="edit" aspectratio="f"/>
              </v:line>
            </w:pict>
          </mc:Fallback>
        </mc:AlternateContent>
      </w:r>
    </w:p>
    <w:p>
      <w:pPr>
        <w:snapToGrid w:val="0"/>
        <w:spacing w:line="214" w:lineRule="exact"/>
        <w:ind w:firstLine="800" w:firstLineChars="200"/>
        <w:rPr>
          <w:rFonts w:hint="eastAsia" w:ascii="方正小标宋_GBK" w:eastAsia="方正小标宋_GBK" w:cs="宋体"/>
          <w:bCs/>
          <w:color w:val="000000"/>
          <w:sz w:val="40"/>
          <w:lang w:bidi="ar-SA"/>
        </w:rPr>
      </w:pPr>
    </w:p>
    <w:p>
      <w:pPr>
        <w:snapToGrid w:val="0"/>
        <w:spacing w:line="594" w:lineRule="exact"/>
        <w:jc w:val="center"/>
        <w:rPr>
          <w:rFonts w:hint="eastAsia" w:ascii="方正小标宋_GBK" w:eastAsia="方正小标宋_GBK"/>
          <w:bCs/>
          <w:sz w:val="44"/>
          <w:szCs w:val="44"/>
        </w:rPr>
      </w:pPr>
      <w:r>
        <w:rPr>
          <w:rFonts w:hint="eastAsia" w:ascii="方正小标宋_GBK" w:eastAsia="方正小标宋_GBK"/>
          <w:bCs/>
          <w:color w:val="000000"/>
          <w:sz w:val="44"/>
          <w:szCs w:val="44"/>
        </w:rPr>
        <w:t>广西壮族自治区职称改革工作领导小组办公室</w:t>
      </w:r>
    </w:p>
    <w:p>
      <w:pPr>
        <w:snapToGrid w:val="0"/>
        <w:spacing w:line="594" w:lineRule="exact"/>
        <w:jc w:val="center"/>
        <w:rPr>
          <w:rFonts w:hint="eastAsia" w:ascii="方正小标宋_GBK" w:eastAsia="方正小标宋_GBK"/>
          <w:bCs/>
          <w:sz w:val="44"/>
          <w:szCs w:val="44"/>
        </w:rPr>
      </w:pPr>
      <w:r>
        <w:rPr>
          <w:rFonts w:hint="eastAsia" w:ascii="方正小标宋_GBK" w:eastAsia="方正小标宋_GBK"/>
          <w:bCs/>
          <w:sz w:val="44"/>
          <w:szCs w:val="44"/>
        </w:rPr>
        <w:t>关于印发广西壮族自治区</w:t>
      </w:r>
      <w:r>
        <w:rPr>
          <w:rFonts w:hint="eastAsia" w:ascii="方正小标宋_GBK" w:eastAsia="方正小标宋_GBK"/>
          <w:sz w:val="44"/>
          <w:szCs w:val="44"/>
        </w:rPr>
        <w:t>经济系列</w:t>
      </w:r>
      <w:r>
        <w:rPr>
          <w:rFonts w:hint="eastAsia" w:ascii="方正小标宋_GBK" w:eastAsia="方正小标宋_GBK"/>
          <w:bCs/>
          <w:sz w:val="44"/>
          <w:szCs w:val="44"/>
        </w:rPr>
        <w:t>高级职称</w:t>
      </w:r>
    </w:p>
    <w:p>
      <w:pPr>
        <w:snapToGrid w:val="0"/>
        <w:spacing w:line="594" w:lineRule="exact"/>
        <w:jc w:val="center"/>
        <w:rPr>
          <w:rFonts w:hint="eastAsia" w:ascii="方正小标宋_GBK" w:eastAsia="方正小标宋_GBK"/>
          <w:sz w:val="44"/>
          <w:szCs w:val="44"/>
        </w:rPr>
      </w:pPr>
      <w:r>
        <w:rPr>
          <w:rFonts w:hint="eastAsia" w:ascii="方正小标宋_GBK" w:eastAsia="方正小标宋_GBK"/>
          <w:bCs/>
          <w:sz w:val="44"/>
          <w:szCs w:val="44"/>
        </w:rPr>
        <w:t>评审条件的通知</w:t>
      </w:r>
    </w:p>
    <w:p>
      <w:pPr>
        <w:spacing w:line="594" w:lineRule="exact"/>
        <w:rPr>
          <w:szCs w:val="32"/>
        </w:rPr>
      </w:pPr>
    </w:p>
    <w:p>
      <w:pPr>
        <w:snapToGrid w:val="0"/>
        <w:spacing w:line="594" w:lineRule="exact"/>
        <w:rPr>
          <w:color w:val="000000"/>
          <w:sz w:val="32"/>
          <w:szCs w:val="32"/>
        </w:rPr>
      </w:pPr>
      <w:r>
        <w:rPr>
          <w:color w:val="000000"/>
          <w:sz w:val="32"/>
          <w:szCs w:val="32"/>
        </w:rPr>
        <w:t>各市人力资源和社会保障局、职改办，自治区各系列</w:t>
      </w:r>
      <w:r>
        <w:rPr>
          <w:rFonts w:hint="eastAsia"/>
          <w:color w:val="000000"/>
          <w:sz w:val="32"/>
          <w:szCs w:val="32"/>
        </w:rPr>
        <w:t>（行业）</w:t>
      </w:r>
      <w:r>
        <w:rPr>
          <w:color w:val="000000"/>
          <w:sz w:val="32"/>
          <w:szCs w:val="32"/>
        </w:rPr>
        <w:t>、自治区</w:t>
      </w:r>
      <w:r>
        <w:rPr>
          <w:rFonts w:hint="eastAsia"/>
          <w:color w:val="000000"/>
          <w:sz w:val="32"/>
          <w:szCs w:val="32"/>
        </w:rPr>
        <w:t>级</w:t>
      </w:r>
      <w:r>
        <w:rPr>
          <w:color w:val="000000"/>
          <w:sz w:val="32"/>
          <w:szCs w:val="32"/>
        </w:rPr>
        <w:t>各部门职改办（人事、干部处）：</w:t>
      </w:r>
    </w:p>
    <w:p>
      <w:pPr>
        <w:snapToGrid w:val="0"/>
        <w:spacing w:line="594" w:lineRule="exact"/>
        <w:ind w:firstLine="640" w:firstLineChars="200"/>
        <w:rPr>
          <w:kern w:val="0"/>
          <w:sz w:val="32"/>
          <w:szCs w:val="32"/>
        </w:rPr>
      </w:pPr>
      <w:r>
        <w:rPr>
          <w:sz w:val="32"/>
          <w:szCs w:val="32"/>
        </w:rPr>
        <w:t>现将</w:t>
      </w:r>
      <w:r>
        <w:rPr>
          <w:kern w:val="0"/>
          <w:sz w:val="32"/>
          <w:szCs w:val="32"/>
        </w:rPr>
        <w:t>自治区工程技术经济专业职称改革工作领导小组办公室制定的经济系列高级职称评审条件印发给你们，请认真贯彻执行。在执行中有何问题和建议，请及时报告我办。</w:t>
      </w:r>
    </w:p>
    <w:p>
      <w:pPr>
        <w:snapToGrid w:val="0"/>
        <w:spacing w:line="800" w:lineRule="exact"/>
        <w:ind w:firstLine="600" w:firstLineChars="200"/>
        <w:rPr>
          <w:rFonts w:hint="eastAsia"/>
          <w:kern w:val="0"/>
        </w:rPr>
      </w:pPr>
    </w:p>
    <w:tbl>
      <w:tblPr>
        <w:tblStyle w:val="20"/>
        <w:tblW w:w="6400" w:type="dxa"/>
        <w:jc w:val="righ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4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right"/>
        </w:trPr>
        <w:tc>
          <w:tcPr>
            <w:tcW w:w="6400" w:type="dxa"/>
            <w:tcBorders>
              <w:top w:val="nil"/>
              <w:left w:val="nil"/>
              <w:bottom w:val="nil"/>
              <w:right w:val="nil"/>
              <w:tl2br w:val="nil"/>
              <w:tr2bl w:val="nil"/>
            </w:tcBorders>
          </w:tcPr>
          <w:p>
            <w:pPr>
              <w:snapToGrid w:val="0"/>
              <w:spacing w:line="594" w:lineRule="exact"/>
              <w:jc w:val="center"/>
              <w:rPr>
                <w:kern w:val="0"/>
                <w:sz w:val="32"/>
                <w:szCs w:val="32"/>
              </w:rPr>
            </w:pPr>
            <w:r>
              <w:rPr>
                <w:kern w:val="0"/>
                <w:sz w:val="32"/>
                <w:szCs w:val="32"/>
              </w:rPr>
              <w:t>广西壮族自治区职称改革工作领导小组办公室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right"/>
        </w:trPr>
        <w:tc>
          <w:tcPr>
            <w:tcW w:w="6400" w:type="dxa"/>
            <w:tcBorders>
              <w:top w:val="nil"/>
              <w:left w:val="nil"/>
              <w:bottom w:val="nil"/>
              <w:right w:val="nil"/>
              <w:tl2br w:val="nil"/>
              <w:tr2bl w:val="nil"/>
            </w:tcBorders>
          </w:tcPr>
          <w:p>
            <w:pPr>
              <w:snapToGrid w:val="0"/>
              <w:spacing w:line="594" w:lineRule="exact"/>
              <w:jc w:val="center"/>
              <w:rPr>
                <w:kern w:val="0"/>
                <w:sz w:val="32"/>
                <w:szCs w:val="32"/>
              </w:rPr>
            </w:pPr>
            <w:r>
              <w:rPr>
                <w:kern w:val="0"/>
                <w:sz w:val="32"/>
                <w:szCs w:val="32"/>
              </w:rPr>
              <w:t>2021年6月10日</w:t>
            </w:r>
          </w:p>
        </w:tc>
      </w:tr>
    </w:tbl>
    <w:p>
      <w:pPr>
        <w:spacing w:line="594" w:lineRule="exact"/>
        <w:jc w:val="center"/>
        <w:rPr>
          <w:sz w:val="44"/>
          <w:szCs w:val="44"/>
        </w:rPr>
      </w:pPr>
      <w:r>
        <w:rPr>
          <w:sz w:val="44"/>
          <w:szCs w:val="44"/>
        </w:rPr>
        <w:br w:type="page"/>
      </w:r>
    </w:p>
    <w:p>
      <w:pPr>
        <w:spacing w:line="594" w:lineRule="exact"/>
        <w:jc w:val="center"/>
        <w:rPr>
          <w:rFonts w:hint="eastAsia" w:ascii="方正小标宋_GBK" w:eastAsia="方正小标宋_GBK"/>
          <w:sz w:val="44"/>
          <w:szCs w:val="44"/>
        </w:rPr>
      </w:pPr>
      <w:r>
        <w:rPr>
          <w:rFonts w:hint="eastAsia" w:ascii="方正小标宋_GBK" w:eastAsia="方正小标宋_GBK"/>
          <w:sz w:val="44"/>
          <w:szCs w:val="44"/>
        </w:rPr>
        <w:t>广西壮族自治区经济系列正高级职称</w:t>
      </w:r>
    </w:p>
    <w:p>
      <w:pPr>
        <w:spacing w:line="594" w:lineRule="exact"/>
        <w:jc w:val="center"/>
        <w:rPr>
          <w:rFonts w:hint="eastAsia" w:ascii="方正小标宋_GBK" w:eastAsia="方正小标宋_GBK"/>
          <w:sz w:val="44"/>
          <w:szCs w:val="44"/>
        </w:rPr>
      </w:pPr>
      <w:r>
        <w:rPr>
          <w:rFonts w:hint="eastAsia" w:ascii="方正小标宋_GBK" w:eastAsia="方正小标宋_GBK"/>
          <w:sz w:val="44"/>
          <w:szCs w:val="44"/>
        </w:rPr>
        <w:t>评审条件</w:t>
      </w:r>
    </w:p>
    <w:p>
      <w:pPr>
        <w:spacing w:line="594" w:lineRule="exact"/>
        <w:ind w:firstLine="640" w:firstLineChars="200"/>
        <w:rPr>
          <w:sz w:val="32"/>
          <w:szCs w:val="32"/>
        </w:rPr>
      </w:pPr>
    </w:p>
    <w:p>
      <w:pPr>
        <w:spacing w:line="594" w:lineRule="exact"/>
        <w:ind w:firstLine="640" w:firstLineChars="200"/>
        <w:rPr>
          <w:sz w:val="32"/>
          <w:szCs w:val="32"/>
        </w:rPr>
      </w:pPr>
      <w:r>
        <w:rPr>
          <w:rFonts w:hint="eastAsia" w:ascii="黑体" w:eastAsia="黑体"/>
          <w:bCs/>
          <w:sz w:val="32"/>
          <w:szCs w:val="32"/>
        </w:rPr>
        <w:t>评定标准：</w:t>
      </w:r>
      <w:r>
        <w:rPr>
          <w:sz w:val="32"/>
          <w:szCs w:val="32"/>
        </w:rPr>
        <w:t>遵守宪法和法律法规，具备良好的职业道德和敬业精神；具有系统、深厚的专业理论和实务经验，熟悉与本专业相关的法律、法规或经济政策；熟练运用经济工作专业理论、方法、技巧和相关政策法规，高标准组织设计、实施和评估经济项目或活动方案，提升经济运行水平；具有较强的综合分析能力和解决经济活动中重大疑难问题的能力，能够针对具体经济问题，</w:t>
      </w:r>
      <w:r>
        <w:rPr>
          <w:spacing w:val="4"/>
          <w:sz w:val="32"/>
          <w:szCs w:val="32"/>
        </w:rPr>
        <w:t>开展经济工作政策、理论与实务研究，创新经济经营管理理念和专业方法，为本行业（地区、部门）的经营管理政策的制定提出建设性意见；工作业绩突出，能够指导助理经济师、经济师、高级经济师等参与经济工作的各类从业人员高效合规地开展工作，</w:t>
      </w:r>
      <w:r>
        <w:rPr>
          <w:sz w:val="32"/>
          <w:szCs w:val="32"/>
        </w:rPr>
        <w:t>并通过专业督导，改进工作方法，提高本行业职业能力水平。</w:t>
      </w:r>
    </w:p>
    <w:p>
      <w:pPr>
        <w:spacing w:line="594" w:lineRule="exact"/>
        <w:ind w:firstLine="640" w:firstLineChars="200"/>
        <w:rPr>
          <w:rFonts w:hint="eastAsia" w:ascii="黑体" w:eastAsia="黑体"/>
          <w:bCs/>
          <w:sz w:val="32"/>
          <w:szCs w:val="32"/>
        </w:rPr>
      </w:pPr>
      <w:r>
        <w:rPr>
          <w:rFonts w:hint="eastAsia" w:ascii="黑体" w:eastAsia="黑体"/>
          <w:bCs/>
          <w:sz w:val="32"/>
          <w:szCs w:val="32"/>
        </w:rPr>
        <w:t>第一条  适用范围</w:t>
      </w:r>
    </w:p>
    <w:p>
      <w:pPr>
        <w:spacing w:line="594" w:lineRule="exact"/>
        <w:ind w:firstLine="640" w:firstLineChars="200"/>
        <w:rPr>
          <w:sz w:val="32"/>
          <w:szCs w:val="32"/>
        </w:rPr>
      </w:pPr>
      <w:r>
        <w:rPr>
          <w:sz w:val="32"/>
          <w:szCs w:val="32"/>
        </w:rPr>
        <w:t>适用于在广西企事业单位、社会团体、个体经济组织从事经济专业技术工作的在职在岗专业技术人员。</w:t>
      </w:r>
    </w:p>
    <w:p>
      <w:pPr>
        <w:spacing w:line="594" w:lineRule="exact"/>
        <w:ind w:firstLine="640" w:firstLineChars="200"/>
        <w:rPr>
          <w:rFonts w:hint="eastAsia" w:ascii="黑体" w:eastAsia="黑体"/>
          <w:bCs/>
          <w:sz w:val="32"/>
          <w:szCs w:val="32"/>
        </w:rPr>
      </w:pPr>
      <w:r>
        <w:rPr>
          <w:rFonts w:hint="eastAsia" w:ascii="黑体" w:eastAsia="黑体"/>
          <w:bCs/>
          <w:sz w:val="32"/>
          <w:szCs w:val="32"/>
        </w:rPr>
        <w:t>第二条  思想政治条件</w:t>
      </w:r>
    </w:p>
    <w:p>
      <w:pPr>
        <w:spacing w:line="594" w:lineRule="exact"/>
        <w:ind w:firstLine="640" w:firstLineChars="200"/>
        <w:rPr>
          <w:sz w:val="32"/>
          <w:szCs w:val="32"/>
        </w:rPr>
      </w:pPr>
      <w:r>
        <w:rPr>
          <w:sz w:val="32"/>
          <w:szCs w:val="32"/>
        </w:rPr>
        <w:t>热爱祖国，拥护党的领导，遵守国家法律法规，有良好的职业道德和敬业精神，廉洁奉公，忠于职守，诚实守信，竭诚为社会主义现代化建设服务。</w:t>
      </w:r>
    </w:p>
    <w:p>
      <w:pPr>
        <w:spacing w:line="594" w:lineRule="exact"/>
        <w:ind w:firstLine="640" w:firstLineChars="200"/>
        <w:rPr>
          <w:sz w:val="32"/>
          <w:szCs w:val="32"/>
        </w:rPr>
      </w:pPr>
      <w:r>
        <w:rPr>
          <w:sz w:val="32"/>
          <w:szCs w:val="32"/>
        </w:rPr>
        <w:t>有下列情形之一的，不能申报：</w:t>
      </w:r>
    </w:p>
    <w:p>
      <w:pPr>
        <w:spacing w:line="594" w:lineRule="exact"/>
        <w:ind w:firstLine="640" w:firstLineChars="200"/>
        <w:rPr>
          <w:sz w:val="32"/>
          <w:szCs w:val="32"/>
        </w:rPr>
      </w:pPr>
      <w:r>
        <w:rPr>
          <w:sz w:val="32"/>
          <w:szCs w:val="32"/>
        </w:rPr>
        <w:t>（一）从申报当年往前推算，5年内有过年度考核不合格的。</w:t>
      </w:r>
    </w:p>
    <w:p>
      <w:pPr>
        <w:spacing w:line="594" w:lineRule="exact"/>
        <w:ind w:firstLine="640" w:firstLineChars="200"/>
        <w:rPr>
          <w:sz w:val="32"/>
          <w:szCs w:val="32"/>
        </w:rPr>
      </w:pPr>
      <w:r>
        <w:rPr>
          <w:sz w:val="32"/>
          <w:szCs w:val="32"/>
        </w:rPr>
        <w:t>（二）在申报过程中被发现有伪造学历、资历、业绩成果，或剽窃他人成果等弄虚作假行为者，自申报当年起，5年内不得申报。累计两次的，终身不得申报。通过上述手段骗取职称者，撤销其职称，自撤销之日起，5年内不得申报。</w:t>
      </w:r>
    </w:p>
    <w:p>
      <w:pPr>
        <w:spacing w:line="594" w:lineRule="exact"/>
        <w:ind w:firstLine="640" w:firstLineChars="200"/>
        <w:rPr>
          <w:sz w:val="32"/>
          <w:szCs w:val="32"/>
        </w:rPr>
      </w:pPr>
      <w:r>
        <w:rPr>
          <w:sz w:val="32"/>
          <w:szCs w:val="32"/>
        </w:rPr>
        <w:t>（三）因违纪违法被有关部门立案审查调查或受到违纪违法处分处罚仍在处分处罚影响期内的。</w:t>
      </w:r>
    </w:p>
    <w:p>
      <w:pPr>
        <w:spacing w:line="594" w:lineRule="exact"/>
        <w:ind w:firstLine="640" w:firstLineChars="200"/>
        <w:rPr>
          <w:rFonts w:hint="eastAsia" w:ascii="黑体" w:eastAsia="黑体"/>
          <w:bCs/>
          <w:sz w:val="32"/>
          <w:szCs w:val="32"/>
        </w:rPr>
      </w:pPr>
      <w:r>
        <w:rPr>
          <w:rFonts w:hint="eastAsia" w:ascii="黑体" w:eastAsia="黑体"/>
          <w:bCs/>
          <w:sz w:val="32"/>
          <w:szCs w:val="32"/>
        </w:rPr>
        <w:t>第三条  学历、资历条件</w:t>
      </w:r>
    </w:p>
    <w:p>
      <w:pPr>
        <w:spacing w:line="594" w:lineRule="exact"/>
        <w:ind w:firstLine="640" w:firstLineChars="200"/>
        <w:rPr>
          <w:sz w:val="32"/>
          <w:szCs w:val="32"/>
        </w:rPr>
      </w:pPr>
      <w:r>
        <w:rPr>
          <w:sz w:val="32"/>
          <w:szCs w:val="32"/>
        </w:rPr>
        <w:t>具备大学本科及以上学历或学士以上学位，取得经济系列副高级职称后，从事经济相关专业工作满5年。</w:t>
      </w:r>
    </w:p>
    <w:p>
      <w:pPr>
        <w:spacing w:line="594" w:lineRule="exact"/>
        <w:ind w:firstLine="640" w:firstLineChars="200"/>
        <w:rPr>
          <w:sz w:val="32"/>
          <w:szCs w:val="32"/>
        </w:rPr>
      </w:pPr>
      <w:r>
        <w:rPr>
          <w:sz w:val="32"/>
          <w:szCs w:val="32"/>
        </w:rPr>
        <w:t>按照有关文件规定，2026年以前对下一级职称不做本系列要求。如自治区职称制度改革文件对学历资历条件有新规定，从其规定。</w:t>
      </w:r>
    </w:p>
    <w:p>
      <w:pPr>
        <w:spacing w:line="594" w:lineRule="exact"/>
        <w:ind w:firstLine="640" w:firstLineChars="200"/>
        <w:rPr>
          <w:rFonts w:hint="eastAsia" w:ascii="黑体" w:eastAsia="黑体"/>
          <w:bCs/>
          <w:sz w:val="32"/>
          <w:szCs w:val="32"/>
        </w:rPr>
      </w:pPr>
      <w:r>
        <w:rPr>
          <w:rFonts w:hint="eastAsia" w:ascii="黑体" w:eastAsia="黑体"/>
          <w:bCs/>
          <w:sz w:val="32"/>
          <w:szCs w:val="32"/>
        </w:rPr>
        <w:t>第四条  外语和计算机应用能力条件</w:t>
      </w:r>
    </w:p>
    <w:p>
      <w:pPr>
        <w:spacing w:line="594" w:lineRule="exact"/>
        <w:ind w:firstLine="640" w:firstLineChars="200"/>
        <w:rPr>
          <w:sz w:val="32"/>
          <w:szCs w:val="32"/>
        </w:rPr>
      </w:pPr>
      <w:r>
        <w:rPr>
          <w:sz w:val="32"/>
          <w:szCs w:val="32"/>
        </w:rPr>
        <w:t>对外语和计算机应用能力条件不作统一要求，由各高级评委会相应职改办按照自治区职称制度改革有关文件要求，在年度部署文中予以明确。</w:t>
      </w:r>
    </w:p>
    <w:p>
      <w:pPr>
        <w:spacing w:line="594" w:lineRule="exact"/>
        <w:ind w:firstLine="640" w:firstLineChars="200"/>
        <w:rPr>
          <w:rFonts w:hint="eastAsia" w:ascii="黑体" w:eastAsia="黑体"/>
          <w:bCs/>
          <w:sz w:val="32"/>
          <w:szCs w:val="32"/>
        </w:rPr>
      </w:pPr>
      <w:r>
        <w:rPr>
          <w:rFonts w:hint="eastAsia" w:ascii="黑体" w:eastAsia="黑体"/>
          <w:bCs/>
          <w:sz w:val="32"/>
          <w:szCs w:val="32"/>
        </w:rPr>
        <w:t>第五条  继续教育条件</w:t>
      </w:r>
    </w:p>
    <w:p>
      <w:pPr>
        <w:spacing w:line="594" w:lineRule="exact"/>
        <w:ind w:firstLine="640" w:firstLineChars="200"/>
        <w:rPr>
          <w:sz w:val="32"/>
          <w:szCs w:val="32"/>
        </w:rPr>
      </w:pPr>
      <w:r>
        <w:rPr>
          <w:sz w:val="32"/>
          <w:szCs w:val="32"/>
        </w:rPr>
        <w:t>完成本部门、行业及政府人力资源和社会保障部门规定的继续教育任务。</w:t>
      </w:r>
    </w:p>
    <w:p>
      <w:pPr>
        <w:spacing w:line="594" w:lineRule="exact"/>
        <w:ind w:firstLine="640" w:firstLineChars="200"/>
        <w:rPr>
          <w:rFonts w:hint="eastAsia" w:ascii="黑体" w:eastAsia="黑体"/>
          <w:bCs/>
          <w:sz w:val="32"/>
          <w:szCs w:val="32"/>
        </w:rPr>
      </w:pPr>
      <w:r>
        <w:rPr>
          <w:rFonts w:hint="eastAsia" w:ascii="黑体" w:eastAsia="黑体"/>
          <w:bCs/>
          <w:sz w:val="32"/>
          <w:szCs w:val="32"/>
        </w:rPr>
        <w:t>第六条  专业技术工作经历条件</w:t>
      </w:r>
    </w:p>
    <w:p>
      <w:pPr>
        <w:spacing w:line="594" w:lineRule="exact"/>
        <w:ind w:firstLine="640" w:firstLineChars="200"/>
        <w:rPr>
          <w:sz w:val="32"/>
          <w:szCs w:val="32"/>
        </w:rPr>
      </w:pPr>
      <w:r>
        <w:rPr>
          <w:sz w:val="32"/>
          <w:szCs w:val="32"/>
        </w:rPr>
        <w:t>取得副高级职称以来，具备下列条件之一：</w:t>
      </w:r>
    </w:p>
    <w:p>
      <w:pPr>
        <w:spacing w:line="594" w:lineRule="exact"/>
        <w:ind w:firstLine="640" w:firstLineChars="200"/>
        <w:rPr>
          <w:sz w:val="32"/>
          <w:szCs w:val="32"/>
        </w:rPr>
      </w:pPr>
      <w:r>
        <w:rPr>
          <w:sz w:val="32"/>
          <w:szCs w:val="32"/>
        </w:rPr>
        <w:t>（一）主持2项以上省（部）级或3项以上市（厅）级重点经济项目，或作为骨干参与3项以上省（部）级或4项以上市（厅）级重点经济项目全过程工作。</w:t>
      </w:r>
    </w:p>
    <w:p>
      <w:pPr>
        <w:spacing w:line="594" w:lineRule="exact"/>
        <w:ind w:firstLine="640" w:firstLineChars="200"/>
        <w:rPr>
          <w:sz w:val="32"/>
          <w:szCs w:val="32"/>
        </w:rPr>
      </w:pPr>
      <w:r>
        <w:rPr>
          <w:sz w:val="32"/>
          <w:szCs w:val="32"/>
        </w:rPr>
        <w:t>（二）主持1项国家级或2项以上省（部）级或3项以上市（厅）级课题研究工作，或作为骨干承担3项以上省（部）级或4项以上市（厅）级重点课题研究工作。</w:t>
      </w:r>
    </w:p>
    <w:p>
      <w:pPr>
        <w:spacing w:line="594" w:lineRule="exact"/>
        <w:ind w:firstLine="640" w:firstLineChars="200"/>
        <w:rPr>
          <w:sz w:val="32"/>
          <w:szCs w:val="32"/>
        </w:rPr>
      </w:pPr>
      <w:r>
        <w:rPr>
          <w:sz w:val="32"/>
          <w:szCs w:val="32"/>
        </w:rPr>
        <w:t>（三）主持2项以上或作为骨干参与3项以上省（部）级行</w:t>
      </w:r>
      <w:r>
        <w:rPr>
          <w:spacing w:val="-4"/>
          <w:sz w:val="32"/>
          <w:szCs w:val="32"/>
        </w:rPr>
        <w:t>业规划、重要经济政策规章或市级以上国民经济与社会发展规</w:t>
      </w:r>
      <w:r>
        <w:rPr>
          <w:sz w:val="32"/>
          <w:szCs w:val="32"/>
        </w:rPr>
        <w:t>划。</w:t>
      </w:r>
    </w:p>
    <w:p>
      <w:pPr>
        <w:spacing w:line="594" w:lineRule="exact"/>
        <w:ind w:firstLine="640" w:firstLineChars="200"/>
        <w:rPr>
          <w:sz w:val="32"/>
          <w:szCs w:val="32"/>
        </w:rPr>
      </w:pPr>
      <w:r>
        <w:rPr>
          <w:sz w:val="32"/>
          <w:szCs w:val="32"/>
        </w:rPr>
        <w:t>（四）主持事业单位、大中型企业的经营管理工作连续3年以上，或作为骨干参与事业单位、大中型企业的经营管理工作连续5年以上，或主持小型企业经营管理工作连续5年以上。</w:t>
      </w:r>
    </w:p>
    <w:p>
      <w:pPr>
        <w:spacing w:line="594" w:lineRule="exact"/>
        <w:ind w:firstLine="640" w:firstLineChars="200"/>
        <w:rPr>
          <w:sz w:val="32"/>
          <w:szCs w:val="32"/>
        </w:rPr>
      </w:pPr>
      <w:r>
        <w:rPr>
          <w:sz w:val="32"/>
          <w:szCs w:val="32"/>
        </w:rPr>
        <w:t>（五）主持2项以上或作为骨干参与3项以上大中型企业的中外投融资、企业改制、兼并重组、管理创新等项目。</w:t>
      </w:r>
    </w:p>
    <w:p>
      <w:pPr>
        <w:spacing w:line="594" w:lineRule="exact"/>
        <w:ind w:firstLine="640" w:firstLineChars="200"/>
        <w:rPr>
          <w:sz w:val="32"/>
          <w:szCs w:val="32"/>
        </w:rPr>
      </w:pPr>
      <w:r>
        <w:rPr>
          <w:sz w:val="32"/>
          <w:szCs w:val="32"/>
        </w:rPr>
        <w:t>（六）主持或作为骨干参与1项国家级或2项以上</w:t>
      </w:r>
      <w:bookmarkStart w:id="0" w:name="_Hlk70666603"/>
      <w:r>
        <w:rPr>
          <w:sz w:val="32"/>
          <w:szCs w:val="32"/>
        </w:rPr>
        <w:t>省（部）级</w:t>
      </w:r>
      <w:bookmarkEnd w:id="0"/>
      <w:r>
        <w:rPr>
          <w:sz w:val="32"/>
          <w:szCs w:val="32"/>
        </w:rPr>
        <w:t>重大经济活动，并取得显著成绩。</w:t>
      </w:r>
    </w:p>
    <w:p>
      <w:pPr>
        <w:spacing w:line="594" w:lineRule="exact"/>
        <w:ind w:firstLine="640" w:firstLineChars="200"/>
        <w:rPr>
          <w:rFonts w:hint="eastAsia" w:ascii="黑体" w:eastAsia="黑体"/>
          <w:bCs/>
          <w:sz w:val="32"/>
          <w:szCs w:val="32"/>
        </w:rPr>
      </w:pPr>
      <w:r>
        <w:rPr>
          <w:rFonts w:hint="eastAsia" w:ascii="黑体" w:eastAsia="黑体"/>
          <w:bCs/>
          <w:sz w:val="32"/>
          <w:szCs w:val="32"/>
        </w:rPr>
        <w:t>第七条  业绩成果条件</w:t>
      </w:r>
    </w:p>
    <w:p>
      <w:pPr>
        <w:spacing w:line="594" w:lineRule="exact"/>
        <w:ind w:firstLine="640" w:firstLineChars="200"/>
        <w:rPr>
          <w:sz w:val="32"/>
          <w:szCs w:val="32"/>
        </w:rPr>
      </w:pPr>
      <w:r>
        <w:rPr>
          <w:sz w:val="32"/>
          <w:szCs w:val="32"/>
        </w:rPr>
        <w:t>取得副高级职称以来，具备下列条件（一）至（七）之一项，或（八）至（十九）之两项：</w:t>
      </w:r>
    </w:p>
    <w:p>
      <w:pPr>
        <w:spacing w:line="594" w:lineRule="exact"/>
        <w:ind w:firstLine="640" w:firstLineChars="200"/>
        <w:rPr>
          <w:sz w:val="32"/>
          <w:szCs w:val="32"/>
        </w:rPr>
      </w:pPr>
      <w:r>
        <w:rPr>
          <w:sz w:val="32"/>
          <w:szCs w:val="32"/>
        </w:rPr>
        <w:t>（一）获国家级经济类成果奖，或省（部）级经济类成果二等奖1项以上（排名前5）或三等奖2项以上（排名前3）。</w:t>
      </w:r>
    </w:p>
    <w:p>
      <w:pPr>
        <w:spacing w:line="594" w:lineRule="exact"/>
        <w:ind w:firstLine="640" w:firstLineChars="200"/>
        <w:rPr>
          <w:sz w:val="32"/>
          <w:szCs w:val="32"/>
        </w:rPr>
      </w:pPr>
      <w:r>
        <w:rPr>
          <w:sz w:val="32"/>
          <w:szCs w:val="32"/>
        </w:rPr>
        <w:t>（二）从事经济工作业绩显著，获国家级表彰</w:t>
      </w:r>
      <w:bookmarkStart w:id="1" w:name="_Hlk70669708"/>
      <w:r>
        <w:rPr>
          <w:sz w:val="32"/>
          <w:szCs w:val="32"/>
        </w:rPr>
        <w:t>（奖项须经全国评比达标表彰工作协调小组批准）</w:t>
      </w:r>
      <w:bookmarkEnd w:id="1"/>
      <w:r>
        <w:rPr>
          <w:sz w:val="32"/>
          <w:szCs w:val="32"/>
        </w:rPr>
        <w:t>。</w:t>
      </w:r>
    </w:p>
    <w:p>
      <w:pPr>
        <w:spacing w:line="594" w:lineRule="exact"/>
        <w:ind w:firstLine="640" w:firstLineChars="200"/>
        <w:rPr>
          <w:sz w:val="32"/>
          <w:szCs w:val="32"/>
        </w:rPr>
      </w:pPr>
      <w:r>
        <w:rPr>
          <w:sz w:val="32"/>
          <w:szCs w:val="32"/>
        </w:rPr>
        <w:t>（三）全国优秀企业家或广西十佳企业家荣誉称号获得者。</w:t>
      </w:r>
    </w:p>
    <w:p>
      <w:pPr>
        <w:spacing w:line="594" w:lineRule="exact"/>
        <w:ind w:firstLine="640" w:firstLineChars="200"/>
        <w:rPr>
          <w:sz w:val="32"/>
          <w:szCs w:val="32"/>
        </w:rPr>
      </w:pPr>
      <w:r>
        <w:rPr>
          <w:sz w:val="32"/>
          <w:szCs w:val="32"/>
        </w:rPr>
        <w:t>（四）主持或作为骨干完成的重点经济项目达到预期目标，取得较好的经济效益、社会效益和生态效益。</w:t>
      </w:r>
    </w:p>
    <w:p>
      <w:pPr>
        <w:spacing w:line="594" w:lineRule="exact"/>
        <w:ind w:firstLine="640" w:firstLineChars="200"/>
        <w:rPr>
          <w:sz w:val="32"/>
          <w:szCs w:val="32"/>
        </w:rPr>
      </w:pPr>
      <w:r>
        <w:rPr>
          <w:sz w:val="32"/>
          <w:szCs w:val="32"/>
        </w:rPr>
        <w:t>（五）主持或作为骨干完成的课题研究成果通过主管部门的评审验收。</w:t>
      </w:r>
    </w:p>
    <w:p>
      <w:pPr>
        <w:spacing w:line="594" w:lineRule="exact"/>
        <w:ind w:firstLine="640" w:firstLineChars="200"/>
        <w:rPr>
          <w:sz w:val="32"/>
          <w:szCs w:val="32"/>
        </w:rPr>
      </w:pPr>
      <w:r>
        <w:rPr>
          <w:sz w:val="32"/>
          <w:szCs w:val="32"/>
        </w:rPr>
        <w:t>（六）主持或作为骨干参与制定的行业规划、经济政策规章、行业标准或国民经济与社会发展规划等，经主管部门批准或采纳，颁布实施后取得较好的经济效益和社会效益。</w:t>
      </w:r>
    </w:p>
    <w:p>
      <w:pPr>
        <w:spacing w:line="594" w:lineRule="exact"/>
        <w:ind w:firstLine="640" w:firstLineChars="200"/>
        <w:rPr>
          <w:sz w:val="32"/>
          <w:szCs w:val="32"/>
        </w:rPr>
      </w:pPr>
      <w:r>
        <w:rPr>
          <w:sz w:val="32"/>
          <w:szCs w:val="32"/>
        </w:rPr>
        <w:t>（七）主持企业经济管理工作期间，企业首次入围中国企业500强、制造业500强或服务业500强榜单，或连续3年排名提升（稳定）。</w:t>
      </w:r>
    </w:p>
    <w:p>
      <w:pPr>
        <w:spacing w:line="594" w:lineRule="exact"/>
        <w:ind w:firstLine="640" w:firstLineChars="200"/>
        <w:rPr>
          <w:sz w:val="32"/>
          <w:szCs w:val="32"/>
        </w:rPr>
      </w:pPr>
      <w:r>
        <w:rPr>
          <w:sz w:val="32"/>
          <w:szCs w:val="32"/>
        </w:rPr>
        <w:t>（八）广西优秀企业家荣誉称号获得者。</w:t>
      </w:r>
    </w:p>
    <w:p>
      <w:pPr>
        <w:spacing w:line="594" w:lineRule="exact"/>
        <w:ind w:firstLine="640" w:firstLineChars="200"/>
        <w:rPr>
          <w:sz w:val="32"/>
          <w:szCs w:val="32"/>
        </w:rPr>
      </w:pPr>
      <w:r>
        <w:rPr>
          <w:sz w:val="32"/>
          <w:szCs w:val="32"/>
        </w:rPr>
        <w:t>（九）主持企业经济管理工作期间，企业首次入围广西企业100强、制造业50强或服务业50强榜单，或连续3年排名提升（稳定）。</w:t>
      </w:r>
    </w:p>
    <w:p>
      <w:pPr>
        <w:spacing w:line="594" w:lineRule="exact"/>
        <w:ind w:firstLine="640" w:firstLineChars="200"/>
        <w:rPr>
          <w:sz w:val="32"/>
          <w:szCs w:val="32"/>
        </w:rPr>
      </w:pPr>
      <w:r>
        <w:rPr>
          <w:sz w:val="32"/>
          <w:szCs w:val="32"/>
        </w:rPr>
        <w:t>（十）主持或作为骨干参与企业经济管理工作期间，推进产品研发和技术创新，企业获得自治区主席质量奖（主席质量奖提名奖）或2个以上广西名牌产品，或参与制定1项以上已颁布实施的国际或国家标准。</w:t>
      </w:r>
    </w:p>
    <w:p>
      <w:pPr>
        <w:spacing w:line="594" w:lineRule="exact"/>
        <w:ind w:firstLine="640" w:firstLineChars="200"/>
        <w:rPr>
          <w:sz w:val="32"/>
          <w:szCs w:val="32"/>
        </w:rPr>
      </w:pPr>
      <w:r>
        <w:rPr>
          <w:sz w:val="32"/>
          <w:szCs w:val="32"/>
        </w:rPr>
        <w:t>（十一）主持或作为骨干参与的大中型企业的中外投融资、企业改制、兼并重组、管理创新等项目，取得显著的经济效益或社会效益。</w:t>
      </w:r>
    </w:p>
    <w:p>
      <w:pPr>
        <w:spacing w:line="594" w:lineRule="exact"/>
        <w:ind w:firstLine="640" w:firstLineChars="200"/>
        <w:rPr>
          <w:sz w:val="32"/>
          <w:szCs w:val="32"/>
        </w:rPr>
      </w:pPr>
      <w:r>
        <w:rPr>
          <w:sz w:val="32"/>
          <w:szCs w:val="32"/>
        </w:rPr>
        <w:t>（十二）主持或作为骨干参与大中型企业经济管理工作期间，取得显著的经济效益、社会效益和生态效益，企业资产规模、营业收入、利润、纳税、研发、就业、节能减排等3项以上主要指标取得显著提升。</w:t>
      </w:r>
    </w:p>
    <w:p>
      <w:pPr>
        <w:spacing w:line="594" w:lineRule="exact"/>
        <w:ind w:firstLine="640" w:firstLineChars="200"/>
        <w:rPr>
          <w:sz w:val="32"/>
          <w:szCs w:val="32"/>
        </w:rPr>
      </w:pPr>
      <w:r>
        <w:rPr>
          <w:sz w:val="32"/>
          <w:szCs w:val="32"/>
        </w:rPr>
        <w:t>（十三）主持或作为骨干参与企业经济管理工作期间，提出并成功实践了新的业态和模式、资本运作方式或企业管理方式等，为企业创新发展和本地区经济发展做出了突出贡献。</w:t>
      </w:r>
    </w:p>
    <w:p>
      <w:pPr>
        <w:spacing w:line="594" w:lineRule="exact"/>
        <w:ind w:firstLine="640" w:firstLineChars="200"/>
        <w:rPr>
          <w:sz w:val="32"/>
          <w:szCs w:val="32"/>
        </w:rPr>
      </w:pPr>
      <w:r>
        <w:rPr>
          <w:sz w:val="32"/>
          <w:szCs w:val="32"/>
        </w:rPr>
        <w:t>（十四）主持或作为骨干参与企事业单位经济管理工作期间，单位的经营管理、发展模式、服务水平等达到国内同行业先进水平，获得</w:t>
      </w:r>
      <w:r>
        <w:rPr>
          <w:sz w:val="32"/>
          <w:szCs w:val="32"/>
          <w:lang w:val="en-US" w:eastAsia="zh-CN"/>
        </w:rPr>
        <w:t>省（部）级</w:t>
      </w:r>
      <w:r>
        <w:rPr>
          <w:sz w:val="32"/>
          <w:szCs w:val="32"/>
        </w:rPr>
        <w:t>以上主管部门表彰或认可推广。</w:t>
      </w:r>
    </w:p>
    <w:p>
      <w:pPr>
        <w:spacing w:line="594" w:lineRule="exact"/>
        <w:ind w:firstLine="640" w:firstLineChars="200"/>
        <w:rPr>
          <w:sz w:val="32"/>
          <w:szCs w:val="32"/>
        </w:rPr>
      </w:pPr>
      <w:r>
        <w:rPr>
          <w:sz w:val="32"/>
          <w:szCs w:val="32"/>
        </w:rPr>
        <w:t>（十五）主持或作为骨干参与企事业单位经济管理工作期间，开展重大疑难问题或关键性的业务问题研究，研究成果或建议被省（部）级以上主管部门采纳或认可。</w:t>
      </w:r>
    </w:p>
    <w:p>
      <w:pPr>
        <w:spacing w:line="594" w:lineRule="exact"/>
        <w:ind w:firstLine="640" w:firstLineChars="200"/>
        <w:rPr>
          <w:sz w:val="32"/>
          <w:szCs w:val="32"/>
        </w:rPr>
      </w:pPr>
      <w:r>
        <w:rPr>
          <w:sz w:val="32"/>
          <w:szCs w:val="32"/>
        </w:rPr>
        <w:t>（十六）主持或作为骨干参与企事业单位经济管理工作期间，不断增加研发投入，提高科技创新能力，单位获得博士后科研工作站、重点实验室、工程研究中心、企业技术中心和技术创新示范企业等省（部）级以上资质认定。</w:t>
      </w:r>
    </w:p>
    <w:p>
      <w:pPr>
        <w:spacing w:line="594" w:lineRule="exact"/>
        <w:ind w:firstLine="640" w:firstLineChars="200"/>
        <w:rPr>
          <w:sz w:val="32"/>
          <w:szCs w:val="32"/>
        </w:rPr>
      </w:pPr>
      <w:r>
        <w:rPr>
          <w:sz w:val="32"/>
          <w:szCs w:val="32"/>
        </w:rPr>
        <w:t>（十七）主持或作为骨干参与企业经营管理工作期间，获得国家级企业管理成果奖，或</w:t>
      </w:r>
      <w:r>
        <w:rPr>
          <w:sz w:val="32"/>
          <w:szCs w:val="32"/>
          <w:lang w:val="en-US" w:eastAsia="zh-CN"/>
        </w:rPr>
        <w:t>省（部）级</w:t>
      </w:r>
      <w:r>
        <w:rPr>
          <w:sz w:val="32"/>
          <w:szCs w:val="32"/>
        </w:rPr>
        <w:t>企业管理成果奖二等奖以上（排名前5）。</w:t>
      </w:r>
    </w:p>
    <w:p>
      <w:pPr>
        <w:spacing w:line="594" w:lineRule="exact"/>
        <w:ind w:firstLine="640" w:firstLineChars="200"/>
        <w:rPr>
          <w:sz w:val="32"/>
          <w:szCs w:val="32"/>
        </w:rPr>
      </w:pPr>
      <w:r>
        <w:rPr>
          <w:sz w:val="32"/>
          <w:szCs w:val="32"/>
        </w:rPr>
        <w:t>（十八）从事知识产权专业工作期间，具备下列条件之一，且须连续 3 年以上</w:t>
      </w:r>
      <w:bookmarkStart w:id="2" w:name="_Hlk70669516"/>
      <w:r>
        <w:rPr>
          <w:sz w:val="32"/>
          <w:szCs w:val="32"/>
        </w:rPr>
        <w:t>取得突出的经济效益、社会效益和生态效益</w:t>
      </w:r>
      <w:bookmarkEnd w:id="2"/>
      <w:r>
        <w:rPr>
          <w:sz w:val="32"/>
          <w:szCs w:val="32"/>
        </w:rPr>
        <w:t>，主要经济指标取得显著提升。</w:t>
      </w:r>
    </w:p>
    <w:p>
      <w:pPr>
        <w:spacing w:line="594" w:lineRule="exact"/>
        <w:ind w:firstLine="640" w:firstLineChars="200"/>
        <w:rPr>
          <w:sz w:val="32"/>
          <w:szCs w:val="32"/>
        </w:rPr>
      </w:pPr>
      <w:r>
        <w:rPr>
          <w:sz w:val="32"/>
          <w:szCs w:val="32"/>
        </w:rPr>
        <w:t>1.主持或作为骨干完成受理审查重大知识产权入股、转让、质押融资、实施许可等项目。</w:t>
      </w:r>
    </w:p>
    <w:p>
      <w:pPr>
        <w:spacing w:line="594" w:lineRule="exact"/>
        <w:ind w:firstLine="616" w:firstLineChars="200"/>
        <w:rPr>
          <w:spacing w:val="-4"/>
          <w:sz w:val="32"/>
          <w:szCs w:val="32"/>
        </w:rPr>
      </w:pPr>
      <w:r>
        <w:rPr>
          <w:spacing w:val="-6"/>
          <w:sz w:val="32"/>
          <w:szCs w:val="32"/>
        </w:rPr>
        <w:t>2.主持或作为骨干完成重大科技、经济活动知识产权评议项</w:t>
      </w:r>
      <w:r>
        <w:rPr>
          <w:spacing w:val="-4"/>
          <w:sz w:val="32"/>
          <w:szCs w:val="32"/>
        </w:rPr>
        <w:t>目。</w:t>
      </w:r>
    </w:p>
    <w:p>
      <w:pPr>
        <w:spacing w:line="594" w:lineRule="exact"/>
        <w:ind w:firstLine="624" w:firstLineChars="200"/>
        <w:rPr>
          <w:spacing w:val="-4"/>
          <w:sz w:val="32"/>
          <w:szCs w:val="32"/>
        </w:rPr>
      </w:pPr>
      <w:r>
        <w:rPr>
          <w:spacing w:val="-4"/>
          <w:sz w:val="32"/>
          <w:szCs w:val="32"/>
        </w:rPr>
        <w:t>3.主持或作为骨干完成知识产权导航、预警、信息化建设工作。</w:t>
      </w:r>
    </w:p>
    <w:p>
      <w:pPr>
        <w:spacing w:line="594" w:lineRule="exact"/>
        <w:ind w:firstLine="640" w:firstLineChars="200"/>
        <w:rPr>
          <w:sz w:val="32"/>
          <w:szCs w:val="32"/>
        </w:rPr>
      </w:pPr>
      <w:r>
        <w:rPr>
          <w:sz w:val="32"/>
          <w:szCs w:val="32"/>
        </w:rPr>
        <w:t>4.代理的专利案件、实施成果应用转化对提升产业或企业创新竞争力起到显著作用，在全国范围内有较高知名度和影响力。</w:t>
      </w:r>
    </w:p>
    <w:p>
      <w:pPr>
        <w:spacing w:line="594" w:lineRule="exact"/>
        <w:ind w:firstLine="640" w:firstLineChars="200"/>
        <w:rPr>
          <w:sz w:val="32"/>
          <w:szCs w:val="32"/>
        </w:rPr>
      </w:pPr>
      <w:r>
        <w:rPr>
          <w:sz w:val="32"/>
          <w:szCs w:val="32"/>
        </w:rPr>
        <w:t>（十九）主持或作为骨干处理知识产权保护纠纷案件，或高效打击仿制、假冒等侵权行为，为推动发明创造的应用，提高社会创新能力，促进科学技术进步和经济社会发展作出重要贡献。</w:t>
      </w:r>
    </w:p>
    <w:p>
      <w:pPr>
        <w:spacing w:line="594" w:lineRule="exact"/>
        <w:ind w:firstLine="640" w:firstLineChars="200"/>
        <w:rPr>
          <w:rFonts w:hint="eastAsia" w:ascii="黑体" w:eastAsia="黑体"/>
          <w:bCs/>
          <w:sz w:val="32"/>
          <w:szCs w:val="32"/>
        </w:rPr>
      </w:pPr>
      <w:r>
        <w:rPr>
          <w:rFonts w:hint="eastAsia" w:ascii="黑体" w:eastAsia="黑体"/>
          <w:bCs/>
          <w:sz w:val="32"/>
          <w:szCs w:val="32"/>
        </w:rPr>
        <w:t>第八条  论文、著作条件</w:t>
      </w:r>
    </w:p>
    <w:p>
      <w:pPr>
        <w:spacing w:line="594" w:lineRule="exact"/>
        <w:ind w:firstLine="640" w:firstLineChars="200"/>
        <w:rPr>
          <w:sz w:val="32"/>
          <w:szCs w:val="32"/>
        </w:rPr>
      </w:pPr>
      <w:r>
        <w:rPr>
          <w:sz w:val="32"/>
          <w:szCs w:val="32"/>
        </w:rPr>
        <w:t>取得副高级职称以来，具备下列条件之一：</w:t>
      </w:r>
    </w:p>
    <w:p>
      <w:pPr>
        <w:spacing w:line="594" w:lineRule="exact"/>
        <w:ind w:firstLine="640" w:firstLineChars="200"/>
        <w:rPr>
          <w:sz w:val="32"/>
          <w:szCs w:val="32"/>
        </w:rPr>
      </w:pPr>
      <w:r>
        <w:rPr>
          <w:sz w:val="32"/>
          <w:szCs w:val="32"/>
        </w:rPr>
        <w:t>（一）独著或作为主要编著者公开出版本专业学术著作（5万字以上）1部以上或培训教材2部以上。</w:t>
      </w:r>
    </w:p>
    <w:p>
      <w:pPr>
        <w:spacing w:line="594" w:lineRule="exact"/>
        <w:ind w:firstLine="640" w:firstLineChars="200"/>
        <w:rPr>
          <w:sz w:val="32"/>
          <w:szCs w:val="32"/>
        </w:rPr>
      </w:pPr>
      <w:r>
        <w:rPr>
          <w:sz w:val="32"/>
          <w:szCs w:val="32"/>
        </w:rPr>
        <w:t>（二）</w:t>
      </w:r>
      <w:bookmarkStart w:id="3" w:name="_Hlk70670954"/>
      <w:r>
        <w:rPr>
          <w:sz w:val="32"/>
          <w:szCs w:val="32"/>
        </w:rPr>
        <w:t>独著、第一作者或通讯作者</w:t>
      </w:r>
      <w:bookmarkEnd w:id="3"/>
      <w:r>
        <w:rPr>
          <w:sz w:val="32"/>
          <w:szCs w:val="32"/>
        </w:rPr>
        <w:t>在公开出版的专业期刊发表本专业论文3篇以上，其中至少1篇发表在核心期刊；从事教学或研究工作的申报人员，独著、第一作者或通讯作者在公开出版的专业期刊发表本专业论文4篇以上，其中至少2篇发表在核心期刊。</w:t>
      </w:r>
    </w:p>
    <w:p>
      <w:pPr>
        <w:spacing w:line="594" w:lineRule="exact"/>
        <w:ind w:firstLine="640" w:firstLineChars="200"/>
        <w:rPr>
          <w:sz w:val="32"/>
          <w:szCs w:val="32"/>
        </w:rPr>
      </w:pPr>
      <w:r>
        <w:rPr>
          <w:sz w:val="32"/>
          <w:szCs w:val="32"/>
        </w:rPr>
        <w:t>（三）独著、第一作者或通讯作者在公开出版的专业期刊发表本专业论文2篇以上，以及在国际或全国学术会议</w:t>
      </w:r>
      <w:r>
        <w:rPr>
          <w:sz w:val="32"/>
          <w:szCs w:val="32"/>
          <w:lang w:val="en-US" w:eastAsia="zh-CN"/>
        </w:rPr>
        <w:t>宣读专业论文</w:t>
      </w:r>
      <w:r>
        <w:rPr>
          <w:sz w:val="32"/>
          <w:szCs w:val="32"/>
        </w:rPr>
        <w:t>1篇以上或在省级学术会议</w:t>
      </w:r>
      <w:r>
        <w:rPr>
          <w:sz w:val="32"/>
          <w:szCs w:val="32"/>
          <w:lang w:val="en-US" w:eastAsia="zh-CN"/>
        </w:rPr>
        <w:t>宣读专业论文</w:t>
      </w:r>
      <w:r>
        <w:rPr>
          <w:sz w:val="32"/>
          <w:szCs w:val="32"/>
        </w:rPr>
        <w:t>3篇以上（提供论文宣读证明）。</w:t>
      </w:r>
    </w:p>
    <w:p>
      <w:pPr>
        <w:spacing w:line="594" w:lineRule="exact"/>
        <w:ind w:firstLine="640" w:firstLineChars="200"/>
        <w:rPr>
          <w:sz w:val="32"/>
          <w:szCs w:val="32"/>
        </w:rPr>
      </w:pPr>
      <w:r>
        <w:rPr>
          <w:sz w:val="32"/>
          <w:szCs w:val="32"/>
        </w:rPr>
        <w:t>（四）独著、第一作者或通讯作者在公开出版的专业期刊发表本专业论文2篇以上，以及作为主要承担人（排名前3）为解决本地区、本行业、本单位重大经济问题撰写高水平的专项调查报告、经济分析报告或重大项目立项研究报告等2篇以上（在企业或县级以下事业单位工作的申报人员要求1篇以上），每篇3000字以上，成果得到省（部）级以上主管部门采纳或认可。</w:t>
      </w:r>
    </w:p>
    <w:p>
      <w:pPr>
        <w:spacing w:line="594" w:lineRule="exact"/>
        <w:ind w:firstLine="640" w:firstLineChars="200"/>
        <w:rPr>
          <w:sz w:val="32"/>
          <w:szCs w:val="32"/>
        </w:rPr>
      </w:pPr>
      <w:r>
        <w:rPr>
          <w:sz w:val="32"/>
          <w:szCs w:val="32"/>
        </w:rPr>
        <w:t>（五）企业或县级以下事业单位工作的申报人员，独著、第一作者或通讯作者在公开出版的专业期刊发表本专业论文2篇以上，其中至少1篇发表在核心期刊。</w:t>
      </w:r>
    </w:p>
    <w:p>
      <w:pPr>
        <w:spacing w:line="594" w:lineRule="exact"/>
        <w:ind w:firstLine="640" w:firstLineChars="200"/>
        <w:rPr>
          <w:sz w:val="32"/>
          <w:szCs w:val="32"/>
        </w:rPr>
      </w:pPr>
      <w:r>
        <w:rPr>
          <w:sz w:val="32"/>
          <w:szCs w:val="32"/>
        </w:rPr>
        <w:t>（六）个人撰写的决策咨询类信息被自治区级以上党委、政府采用的可以替代论文条件，按自治区有关规定执行。</w:t>
      </w:r>
    </w:p>
    <w:p>
      <w:pPr>
        <w:spacing w:line="594" w:lineRule="exact"/>
        <w:ind w:firstLine="640" w:firstLineChars="200"/>
        <w:rPr>
          <w:rFonts w:hint="eastAsia" w:ascii="黑体" w:eastAsia="黑体"/>
          <w:bCs/>
          <w:sz w:val="32"/>
          <w:szCs w:val="32"/>
        </w:rPr>
      </w:pPr>
      <w:r>
        <w:rPr>
          <w:rFonts w:hint="eastAsia" w:ascii="黑体" w:eastAsia="黑体"/>
          <w:bCs/>
          <w:sz w:val="32"/>
          <w:szCs w:val="32"/>
        </w:rPr>
        <w:t>第九条  破格条件</w:t>
      </w:r>
    </w:p>
    <w:p>
      <w:pPr>
        <w:spacing w:line="594" w:lineRule="exact"/>
        <w:ind w:firstLine="640" w:firstLineChars="200"/>
        <w:rPr>
          <w:sz w:val="32"/>
          <w:szCs w:val="32"/>
        </w:rPr>
      </w:pPr>
      <w:r>
        <w:rPr>
          <w:sz w:val="32"/>
          <w:szCs w:val="32"/>
        </w:rPr>
        <w:t>取得现职称以来，对具备规定的资历条件，但不具备规定的学历条件，或具备规定的学历条件，但未达到资历条件中规定的年限的，符合</w:t>
      </w:r>
      <w:r>
        <w:rPr>
          <w:rFonts w:hint="eastAsia"/>
          <w:sz w:val="32"/>
          <w:szCs w:val="32"/>
        </w:rPr>
        <w:t>以下</w:t>
      </w:r>
      <w:r>
        <w:rPr>
          <w:sz w:val="32"/>
          <w:szCs w:val="32"/>
        </w:rPr>
        <w:t>条件之一者可破格申报：</w:t>
      </w:r>
    </w:p>
    <w:p>
      <w:pPr>
        <w:spacing w:line="594" w:lineRule="exact"/>
        <w:ind w:firstLine="640" w:firstLineChars="200"/>
        <w:rPr>
          <w:sz w:val="32"/>
          <w:szCs w:val="32"/>
        </w:rPr>
      </w:pPr>
      <w:r>
        <w:rPr>
          <w:sz w:val="32"/>
          <w:szCs w:val="32"/>
        </w:rPr>
        <w:t>（一）国家级经济类成果获得者，或省（部）级经济类成果一等奖获得者（排名前5）。</w:t>
      </w:r>
    </w:p>
    <w:p>
      <w:pPr>
        <w:spacing w:line="594" w:lineRule="exact"/>
        <w:ind w:firstLine="640" w:firstLineChars="200"/>
        <w:rPr>
          <w:sz w:val="32"/>
          <w:szCs w:val="32"/>
        </w:rPr>
      </w:pPr>
      <w:r>
        <w:rPr>
          <w:sz w:val="32"/>
          <w:szCs w:val="32"/>
        </w:rPr>
        <w:t>（二）</w:t>
      </w:r>
      <w:r>
        <w:rPr>
          <w:bCs/>
          <w:sz w:val="32"/>
          <w:szCs w:val="32"/>
        </w:rPr>
        <w:t>取得大专学历，在企业或县级以下事业单位工作，取得副高级职称后从事专业技术工作10年以上的，满足评审条件其他要求的，可破格申报。</w:t>
      </w:r>
    </w:p>
    <w:p>
      <w:pPr>
        <w:spacing w:line="594" w:lineRule="exact"/>
        <w:ind w:firstLine="640" w:firstLineChars="200"/>
        <w:rPr>
          <w:rFonts w:hint="eastAsia" w:ascii="黑体" w:eastAsia="黑体"/>
          <w:bCs/>
          <w:sz w:val="32"/>
          <w:szCs w:val="32"/>
        </w:rPr>
      </w:pPr>
      <w:r>
        <w:rPr>
          <w:rFonts w:hint="eastAsia" w:ascii="黑体" w:eastAsia="黑体"/>
          <w:bCs/>
          <w:sz w:val="32"/>
          <w:szCs w:val="32"/>
        </w:rPr>
        <w:t>第十条  附则</w:t>
      </w:r>
    </w:p>
    <w:p>
      <w:pPr>
        <w:spacing w:line="594" w:lineRule="exact"/>
        <w:ind w:firstLine="640" w:firstLineChars="200"/>
        <w:rPr>
          <w:sz w:val="32"/>
          <w:szCs w:val="32"/>
        </w:rPr>
      </w:pPr>
      <w:r>
        <w:rPr>
          <w:sz w:val="32"/>
          <w:szCs w:val="32"/>
        </w:rPr>
        <w:t>（一）经济系列正高级职称包含正高级经济师、正高级人力资源管理师、正高级知识产权师。正高级人力资源管理师和正高级知识产权师如另行制定单独评审条件，从其规定。</w:t>
      </w:r>
    </w:p>
    <w:p>
      <w:pPr>
        <w:spacing w:line="594" w:lineRule="exact"/>
        <w:ind w:firstLine="640" w:firstLineChars="200"/>
        <w:rPr>
          <w:sz w:val="32"/>
          <w:szCs w:val="32"/>
        </w:rPr>
      </w:pPr>
      <w:r>
        <w:rPr>
          <w:sz w:val="32"/>
          <w:szCs w:val="32"/>
        </w:rPr>
        <w:t>（二）本条件自下发之日起执行，此前与本条件不一致的，以本条件为准。</w:t>
      </w:r>
    </w:p>
    <w:p>
      <w:pPr>
        <w:spacing w:line="594" w:lineRule="exact"/>
        <w:ind w:firstLine="640" w:firstLineChars="200"/>
        <w:rPr>
          <w:sz w:val="32"/>
          <w:szCs w:val="32"/>
        </w:rPr>
      </w:pPr>
      <w:r>
        <w:rPr>
          <w:sz w:val="32"/>
          <w:szCs w:val="32"/>
        </w:rPr>
        <w:t>（三）本条件由自治区职改办、自治区工程技术经济专业职改办按职责分工负责解释。</w:t>
      </w:r>
    </w:p>
    <w:p>
      <w:pPr>
        <w:spacing w:line="594" w:lineRule="exact"/>
        <w:ind w:firstLine="640" w:firstLineChars="200"/>
        <w:rPr>
          <w:sz w:val="32"/>
          <w:szCs w:val="32"/>
        </w:rPr>
      </w:pPr>
      <w:r>
        <w:rPr>
          <w:sz w:val="32"/>
          <w:szCs w:val="32"/>
        </w:rPr>
        <w:t>（四）与本条件相关的词（语）解释见附录。</w:t>
      </w:r>
    </w:p>
    <w:p>
      <w:pPr>
        <w:spacing w:line="594" w:lineRule="exact"/>
        <w:ind w:firstLine="640" w:firstLineChars="200"/>
        <w:rPr>
          <w:sz w:val="32"/>
          <w:szCs w:val="32"/>
        </w:rPr>
      </w:pPr>
    </w:p>
    <w:p>
      <w:pPr>
        <w:spacing w:line="594" w:lineRule="exact"/>
        <w:jc w:val="center"/>
        <w:rPr>
          <w:sz w:val="44"/>
          <w:szCs w:val="44"/>
        </w:rPr>
      </w:pPr>
    </w:p>
    <w:p>
      <w:pPr>
        <w:spacing w:line="594" w:lineRule="exact"/>
        <w:jc w:val="center"/>
        <w:rPr>
          <w:sz w:val="44"/>
          <w:szCs w:val="44"/>
        </w:rPr>
      </w:pPr>
    </w:p>
    <w:p>
      <w:pPr>
        <w:spacing w:line="594" w:lineRule="exact"/>
        <w:jc w:val="center"/>
        <w:rPr>
          <w:sz w:val="44"/>
          <w:szCs w:val="44"/>
        </w:rPr>
      </w:pPr>
    </w:p>
    <w:p>
      <w:pPr>
        <w:spacing w:line="594" w:lineRule="exact"/>
        <w:rPr>
          <w:sz w:val="44"/>
          <w:szCs w:val="44"/>
        </w:rPr>
      </w:pPr>
      <w:r>
        <w:rPr>
          <w:sz w:val="44"/>
          <w:szCs w:val="44"/>
        </w:rPr>
        <w:br w:type="page"/>
      </w:r>
    </w:p>
    <w:p>
      <w:pPr>
        <w:spacing w:line="594" w:lineRule="exact"/>
        <w:jc w:val="center"/>
        <w:rPr>
          <w:rFonts w:hint="eastAsia" w:ascii="黑体" w:eastAsia="黑体"/>
          <w:sz w:val="36"/>
          <w:szCs w:val="36"/>
        </w:rPr>
      </w:pPr>
      <w:r>
        <w:rPr>
          <w:rFonts w:hint="eastAsia" w:ascii="黑体" w:eastAsia="黑体"/>
          <w:sz w:val="36"/>
          <w:szCs w:val="36"/>
        </w:rPr>
        <w:t>附录：与本条件相关的词（语）或概念的特定解释</w:t>
      </w:r>
    </w:p>
    <w:p>
      <w:pPr>
        <w:spacing w:line="594" w:lineRule="exact"/>
        <w:ind w:firstLine="640" w:firstLineChars="200"/>
        <w:rPr>
          <w:sz w:val="32"/>
          <w:szCs w:val="32"/>
        </w:rPr>
      </w:pPr>
    </w:p>
    <w:p>
      <w:pPr>
        <w:spacing w:line="594" w:lineRule="exact"/>
        <w:ind w:firstLine="640" w:firstLineChars="200"/>
        <w:rPr>
          <w:sz w:val="32"/>
          <w:szCs w:val="32"/>
        </w:rPr>
      </w:pPr>
      <w:r>
        <w:rPr>
          <w:sz w:val="32"/>
          <w:szCs w:val="32"/>
        </w:rPr>
        <w:t>一</w:t>
      </w:r>
      <w:r>
        <w:rPr>
          <w:rFonts w:hint="eastAsia"/>
          <w:sz w:val="32"/>
          <w:szCs w:val="32"/>
        </w:rPr>
        <w:t>、</w:t>
      </w:r>
      <w:r>
        <w:rPr>
          <w:sz w:val="32"/>
          <w:szCs w:val="32"/>
        </w:rPr>
        <w:t>主持：指负责企事业单位或项目（课题）的全面工作，承担主要责任并解决重要关键问题。</w:t>
      </w:r>
    </w:p>
    <w:p>
      <w:pPr>
        <w:spacing w:line="594" w:lineRule="exact"/>
        <w:ind w:firstLine="640" w:firstLineChars="200"/>
        <w:rPr>
          <w:sz w:val="32"/>
          <w:szCs w:val="32"/>
        </w:rPr>
      </w:pPr>
      <w:r>
        <w:rPr>
          <w:sz w:val="32"/>
          <w:szCs w:val="32"/>
        </w:rPr>
        <w:t>二</w:t>
      </w:r>
      <w:r>
        <w:rPr>
          <w:rFonts w:hint="eastAsia"/>
          <w:sz w:val="32"/>
          <w:szCs w:val="32"/>
        </w:rPr>
        <w:t>、</w:t>
      </w:r>
      <w:r>
        <w:rPr>
          <w:sz w:val="32"/>
          <w:szCs w:val="32"/>
        </w:rPr>
        <w:t>骨干：指具体承担项目的调研、立项、项目实施、综合研究报告的编写等全过程的负责人或具体从事生产管理、经营管理、项目建设、课题研究等某一方面的负责人。</w:t>
      </w:r>
    </w:p>
    <w:p>
      <w:pPr>
        <w:spacing w:line="594" w:lineRule="exact"/>
        <w:ind w:firstLine="640" w:firstLineChars="200"/>
        <w:rPr>
          <w:sz w:val="32"/>
          <w:szCs w:val="32"/>
        </w:rPr>
      </w:pPr>
      <w:r>
        <w:rPr>
          <w:sz w:val="32"/>
          <w:szCs w:val="32"/>
        </w:rPr>
        <w:t>三</w:t>
      </w:r>
      <w:r>
        <w:rPr>
          <w:rFonts w:hint="eastAsia"/>
          <w:sz w:val="32"/>
          <w:szCs w:val="32"/>
        </w:rPr>
        <w:t>、</w:t>
      </w:r>
      <w:r>
        <w:rPr>
          <w:sz w:val="32"/>
          <w:szCs w:val="32"/>
        </w:rPr>
        <w:t>企业划分标准：按国家统计局关于印发《统计上大中小</w:t>
      </w:r>
      <w:r>
        <w:rPr>
          <w:spacing w:val="-6"/>
          <w:sz w:val="32"/>
          <w:szCs w:val="32"/>
        </w:rPr>
        <w:t>微型企业划分办法（2017）》的通知（国统字〔2017〕213号）执</w:t>
      </w:r>
      <w:r>
        <w:rPr>
          <w:sz w:val="32"/>
          <w:szCs w:val="32"/>
        </w:rPr>
        <w:t>行。</w:t>
      </w:r>
    </w:p>
    <w:p>
      <w:pPr>
        <w:spacing w:line="594" w:lineRule="exact"/>
        <w:ind w:firstLine="640" w:firstLineChars="200"/>
        <w:rPr>
          <w:sz w:val="32"/>
          <w:szCs w:val="32"/>
        </w:rPr>
      </w:pPr>
      <w:r>
        <w:rPr>
          <w:sz w:val="32"/>
          <w:szCs w:val="32"/>
        </w:rPr>
        <w:t>四</w:t>
      </w:r>
      <w:r>
        <w:rPr>
          <w:rFonts w:hint="eastAsia"/>
          <w:sz w:val="32"/>
          <w:szCs w:val="32"/>
        </w:rPr>
        <w:t>、</w:t>
      </w:r>
      <w:r>
        <w:rPr>
          <w:sz w:val="32"/>
          <w:szCs w:val="32"/>
        </w:rPr>
        <w:t>全国优秀企业家，中国企业500强、制造业企业500强、服务业企业500强榜单：由中国企业联合会、中国企业家协会表彰或发布；广西优秀企业家、广西企业100强、制造业50强、服务业50强榜单：由广西企业与企业家联合会表彰发布。</w:t>
      </w:r>
    </w:p>
    <w:p>
      <w:pPr>
        <w:spacing w:line="594" w:lineRule="exact"/>
        <w:ind w:firstLine="640" w:firstLineChars="200"/>
        <w:rPr>
          <w:sz w:val="32"/>
          <w:szCs w:val="32"/>
        </w:rPr>
      </w:pPr>
      <w:r>
        <w:rPr>
          <w:sz w:val="32"/>
          <w:szCs w:val="32"/>
        </w:rPr>
        <w:t>五</w:t>
      </w:r>
      <w:r>
        <w:rPr>
          <w:rFonts w:hint="eastAsia"/>
          <w:sz w:val="32"/>
          <w:szCs w:val="32"/>
        </w:rPr>
        <w:t>、</w:t>
      </w:r>
      <w:r>
        <w:rPr>
          <w:sz w:val="32"/>
          <w:szCs w:val="32"/>
        </w:rPr>
        <w:t>主要编著者：指参与写作的主编、副主编、排名前三名的著者或个人承担的编著字数达到全书三分之一的执笔人。</w:t>
      </w:r>
    </w:p>
    <w:p>
      <w:pPr>
        <w:spacing w:line="594" w:lineRule="exact"/>
        <w:ind w:firstLine="640" w:firstLineChars="200"/>
        <w:rPr>
          <w:sz w:val="32"/>
          <w:szCs w:val="32"/>
        </w:rPr>
      </w:pPr>
      <w:r>
        <w:rPr>
          <w:sz w:val="32"/>
          <w:szCs w:val="32"/>
        </w:rPr>
        <w:t>六</w:t>
      </w:r>
      <w:r>
        <w:rPr>
          <w:rFonts w:hint="eastAsia"/>
          <w:sz w:val="32"/>
          <w:szCs w:val="32"/>
        </w:rPr>
        <w:t>、</w:t>
      </w:r>
      <w:r>
        <w:rPr>
          <w:sz w:val="32"/>
          <w:szCs w:val="32"/>
        </w:rPr>
        <w:t>著作：指取得</w:t>
      </w:r>
      <w:r>
        <w:rPr>
          <w:sz w:val="32"/>
          <w:szCs w:val="32"/>
          <w:lang w:val="en-US" w:eastAsia="zh-CN"/>
        </w:rPr>
        <w:t>ISBN标准书号</w:t>
      </w:r>
      <w:r>
        <w:rPr>
          <w:sz w:val="32"/>
          <w:szCs w:val="32"/>
        </w:rPr>
        <w:t>，公开出版发行的本专业专著或译著。教材、手册、汇编等不在此列。</w:t>
      </w:r>
    </w:p>
    <w:p>
      <w:pPr>
        <w:spacing w:line="594" w:lineRule="exact"/>
        <w:ind w:firstLine="640" w:firstLineChars="200"/>
        <w:rPr>
          <w:sz w:val="32"/>
          <w:szCs w:val="32"/>
        </w:rPr>
      </w:pPr>
      <w:r>
        <w:rPr>
          <w:sz w:val="32"/>
          <w:szCs w:val="32"/>
        </w:rPr>
        <w:t>七</w:t>
      </w:r>
      <w:r>
        <w:rPr>
          <w:rFonts w:hint="eastAsia"/>
          <w:sz w:val="32"/>
          <w:szCs w:val="32"/>
        </w:rPr>
        <w:t>、</w:t>
      </w:r>
      <w:r>
        <w:rPr>
          <w:sz w:val="32"/>
          <w:szCs w:val="32"/>
        </w:rPr>
        <w:t>论文：指以独著、第一作者或通讯作者在具有CN刊号（国内统一连续出版物号）、ISSN刊号（国际标准连续出版物号）的专业期刊上公开发表本专业研究性学术文章。其内容除正文外一般包括摘要、关键词、注释、参考文献等。论文集、增刊、专刊、内刊、特刊等不在此列。清样稿、论文录用通知证明等不能作为已发表论文的依据。</w:t>
      </w:r>
    </w:p>
    <w:p>
      <w:pPr>
        <w:spacing w:line="594" w:lineRule="exact"/>
        <w:ind w:firstLine="640" w:firstLineChars="200"/>
        <w:rPr>
          <w:sz w:val="32"/>
          <w:szCs w:val="32"/>
        </w:rPr>
      </w:pPr>
      <w:r>
        <w:rPr>
          <w:sz w:val="32"/>
          <w:szCs w:val="32"/>
        </w:rPr>
        <w:t>八</w:t>
      </w:r>
      <w:r>
        <w:rPr>
          <w:rFonts w:hint="eastAsia"/>
          <w:sz w:val="32"/>
          <w:szCs w:val="32"/>
        </w:rPr>
        <w:t>、</w:t>
      </w:r>
      <w:r>
        <w:rPr>
          <w:sz w:val="32"/>
          <w:szCs w:val="32"/>
        </w:rPr>
        <w:t>核心期刊：指北京大学“中文核心期刊”、南京大学“中文社会科学引文索引”和中国社会科学院“中国人文社会科学核心期刊”收录的期刊。发表SCI“科学引文索引”或SSCI“社会科学引文索引”收录的论文视作核心期刊论文（须附中文标题和摘要）。</w:t>
      </w:r>
    </w:p>
    <w:p>
      <w:pPr>
        <w:spacing w:line="594" w:lineRule="exact"/>
        <w:ind w:firstLine="640" w:firstLineChars="200"/>
        <w:rPr>
          <w:sz w:val="32"/>
          <w:szCs w:val="32"/>
        </w:rPr>
      </w:pPr>
      <w:r>
        <w:rPr>
          <w:sz w:val="32"/>
          <w:szCs w:val="32"/>
        </w:rPr>
        <w:t>九</w:t>
      </w:r>
      <w:r>
        <w:rPr>
          <w:rFonts w:hint="eastAsia"/>
          <w:sz w:val="32"/>
          <w:szCs w:val="32"/>
        </w:rPr>
        <w:t>、</w:t>
      </w:r>
      <w:r>
        <w:rPr>
          <w:sz w:val="32"/>
          <w:szCs w:val="32"/>
        </w:rPr>
        <w:t>本条件中涉及的“以上”“以下”均含本级（数）。如：二等奖以上含二等奖。</w:t>
      </w:r>
    </w:p>
    <w:p>
      <w:pPr>
        <w:spacing w:line="594" w:lineRule="exact"/>
        <w:ind w:firstLine="640" w:firstLineChars="200"/>
        <w:rPr>
          <w:sz w:val="32"/>
          <w:szCs w:val="32"/>
        </w:rPr>
      </w:pPr>
      <w:r>
        <w:rPr>
          <w:sz w:val="32"/>
          <w:szCs w:val="32"/>
        </w:rPr>
        <w:t>十</w:t>
      </w:r>
      <w:r>
        <w:rPr>
          <w:rFonts w:hint="eastAsia"/>
          <w:sz w:val="32"/>
          <w:szCs w:val="32"/>
        </w:rPr>
        <w:t>、</w:t>
      </w:r>
      <w:r>
        <w:rPr>
          <w:sz w:val="32"/>
          <w:szCs w:val="32"/>
        </w:rPr>
        <w:t>本条件中“市级”均指设区市，不含县级市。“县级以下单位”指单位地址在县域或乡镇的企事业单位。“县级以下事业单位”指单位地址在县域或乡镇的事业单位。</w:t>
      </w:r>
    </w:p>
    <w:p>
      <w:pPr>
        <w:spacing w:line="594" w:lineRule="exact"/>
        <w:jc w:val="center"/>
        <w:rPr>
          <w:rFonts w:hint="eastAsia"/>
          <w:sz w:val="44"/>
          <w:szCs w:val="44"/>
        </w:rPr>
      </w:pPr>
      <w:r>
        <w:rPr>
          <w:sz w:val="44"/>
          <w:szCs w:val="44"/>
        </w:rPr>
        <w:br w:type="page"/>
      </w:r>
    </w:p>
    <w:p>
      <w:pPr>
        <w:spacing w:line="594" w:lineRule="exact"/>
        <w:jc w:val="center"/>
        <w:rPr>
          <w:rFonts w:hint="eastAsia" w:ascii="方正小标宋_GBK" w:eastAsia="方正小标宋_GBK"/>
          <w:sz w:val="44"/>
          <w:szCs w:val="44"/>
        </w:rPr>
      </w:pPr>
      <w:r>
        <w:rPr>
          <w:rFonts w:hint="eastAsia" w:ascii="方正小标宋_GBK" w:eastAsia="方正小标宋_GBK"/>
          <w:sz w:val="44"/>
          <w:szCs w:val="44"/>
        </w:rPr>
        <w:t>广西壮族自治区经济系列副高级职称</w:t>
      </w:r>
    </w:p>
    <w:p>
      <w:pPr>
        <w:spacing w:line="594" w:lineRule="exact"/>
        <w:jc w:val="center"/>
        <w:rPr>
          <w:rFonts w:hint="eastAsia" w:ascii="方正小标宋_GBK" w:eastAsia="方正小标宋_GBK"/>
          <w:sz w:val="44"/>
          <w:szCs w:val="44"/>
        </w:rPr>
      </w:pPr>
      <w:r>
        <w:rPr>
          <w:rFonts w:hint="eastAsia" w:ascii="方正小标宋_GBK" w:eastAsia="方正小标宋_GBK"/>
          <w:sz w:val="44"/>
          <w:szCs w:val="44"/>
        </w:rPr>
        <w:t>评审条件</w:t>
      </w:r>
    </w:p>
    <w:p>
      <w:pPr>
        <w:spacing w:line="594" w:lineRule="exact"/>
        <w:ind w:firstLine="640" w:firstLineChars="200"/>
        <w:rPr>
          <w:sz w:val="32"/>
          <w:szCs w:val="32"/>
        </w:rPr>
      </w:pPr>
    </w:p>
    <w:p>
      <w:pPr>
        <w:spacing w:line="594" w:lineRule="exact"/>
        <w:ind w:firstLine="640" w:firstLineChars="200"/>
        <w:rPr>
          <w:sz w:val="32"/>
          <w:szCs w:val="32"/>
        </w:rPr>
      </w:pPr>
      <w:r>
        <w:rPr>
          <w:rFonts w:hint="eastAsia" w:ascii="黑体" w:eastAsia="黑体"/>
          <w:bCs/>
          <w:sz w:val="32"/>
          <w:szCs w:val="32"/>
        </w:rPr>
        <w:t>评定标准：</w:t>
      </w:r>
      <w:r>
        <w:rPr>
          <w:sz w:val="32"/>
          <w:szCs w:val="32"/>
        </w:rPr>
        <w:t>遵守宪法和法律法规，具备良好的职业道德和敬业精神；系统掌握经济工作专业理论、方法、技巧和相关政策法规；能够设计实施经济项目或经济活动方案，推动经济活动有序合规展开；有较强的理论研究能力，能够开展经济工作政策、实务研究，创新经营管理理念和专业方法；工作业绩较为突出，能够指导助理经济师、经济师等参与经济工作的各类从业人员合理合规开展工作。</w:t>
      </w:r>
    </w:p>
    <w:p>
      <w:pPr>
        <w:spacing w:line="594" w:lineRule="exact"/>
        <w:ind w:firstLine="640" w:firstLineChars="200"/>
        <w:rPr>
          <w:rFonts w:hint="eastAsia" w:ascii="黑体" w:eastAsia="黑体"/>
          <w:bCs/>
          <w:sz w:val="32"/>
          <w:szCs w:val="32"/>
        </w:rPr>
      </w:pPr>
      <w:r>
        <w:rPr>
          <w:rFonts w:hint="eastAsia" w:ascii="黑体" w:eastAsia="黑体"/>
          <w:bCs/>
          <w:sz w:val="32"/>
          <w:szCs w:val="32"/>
        </w:rPr>
        <w:t>第一条  适用范围</w:t>
      </w:r>
    </w:p>
    <w:p>
      <w:pPr>
        <w:spacing w:line="594" w:lineRule="exact"/>
        <w:ind w:firstLine="640" w:firstLineChars="200"/>
        <w:rPr>
          <w:sz w:val="32"/>
          <w:szCs w:val="32"/>
        </w:rPr>
      </w:pPr>
      <w:r>
        <w:rPr>
          <w:sz w:val="32"/>
          <w:szCs w:val="32"/>
        </w:rPr>
        <w:t>适用于在广西企事业单位、社会团体、个体经济组织从事经济专业技术工作的在职在岗专业技术人员。</w:t>
      </w:r>
    </w:p>
    <w:p>
      <w:pPr>
        <w:spacing w:line="594" w:lineRule="exact"/>
        <w:ind w:firstLine="640" w:firstLineChars="200"/>
        <w:rPr>
          <w:rFonts w:hint="eastAsia" w:ascii="黑体" w:eastAsia="黑体"/>
          <w:bCs/>
          <w:sz w:val="32"/>
          <w:szCs w:val="32"/>
        </w:rPr>
      </w:pPr>
      <w:r>
        <w:rPr>
          <w:rFonts w:hint="eastAsia" w:ascii="黑体" w:eastAsia="黑体"/>
          <w:bCs/>
          <w:sz w:val="32"/>
          <w:szCs w:val="32"/>
        </w:rPr>
        <w:t>第二条  思想政治条件</w:t>
      </w:r>
    </w:p>
    <w:p>
      <w:pPr>
        <w:spacing w:line="594" w:lineRule="exact"/>
        <w:ind w:firstLine="640" w:firstLineChars="200"/>
        <w:rPr>
          <w:sz w:val="32"/>
          <w:szCs w:val="32"/>
        </w:rPr>
      </w:pPr>
      <w:r>
        <w:rPr>
          <w:sz w:val="32"/>
          <w:szCs w:val="32"/>
        </w:rPr>
        <w:t>热爱祖国，拥护党的领导，遵守国家法律法规，有良好的职业道德和敬业精神，廉洁奉公，忠于职守，诚实守信，竭诚为社会主义现代化建设服务。</w:t>
      </w:r>
    </w:p>
    <w:p>
      <w:pPr>
        <w:spacing w:line="594" w:lineRule="exact"/>
        <w:ind w:firstLine="640" w:firstLineChars="200"/>
        <w:rPr>
          <w:sz w:val="32"/>
          <w:szCs w:val="32"/>
        </w:rPr>
      </w:pPr>
      <w:r>
        <w:rPr>
          <w:sz w:val="32"/>
          <w:szCs w:val="32"/>
        </w:rPr>
        <w:t>有下列情形之一的，不能申报：</w:t>
      </w:r>
    </w:p>
    <w:p>
      <w:pPr>
        <w:spacing w:line="594" w:lineRule="exact"/>
        <w:ind w:firstLine="640" w:firstLineChars="200"/>
        <w:rPr>
          <w:sz w:val="32"/>
          <w:szCs w:val="32"/>
        </w:rPr>
      </w:pPr>
      <w:r>
        <w:rPr>
          <w:sz w:val="32"/>
          <w:szCs w:val="32"/>
        </w:rPr>
        <w:t>（一）从申报当年往前推算，5年内有过年度考核不合格的。</w:t>
      </w:r>
    </w:p>
    <w:p>
      <w:pPr>
        <w:spacing w:line="594" w:lineRule="exact"/>
        <w:ind w:firstLine="640" w:firstLineChars="200"/>
        <w:rPr>
          <w:sz w:val="32"/>
          <w:szCs w:val="32"/>
        </w:rPr>
      </w:pPr>
      <w:r>
        <w:rPr>
          <w:sz w:val="32"/>
          <w:szCs w:val="32"/>
        </w:rPr>
        <w:t>（二）在申报过程中被发现有伪造学历、资历、业绩成果，或剽窃他人成果等弄虚作假行为者，自申报当年起，5年内不得申报。累计两次的，终身不得申报。通过上述手段骗取职称者，撤销其职称，自撤销之日起，5年内不得申报。</w:t>
      </w:r>
    </w:p>
    <w:p>
      <w:pPr>
        <w:spacing w:line="594" w:lineRule="exact"/>
        <w:ind w:firstLine="640" w:firstLineChars="200"/>
        <w:rPr>
          <w:sz w:val="32"/>
          <w:szCs w:val="32"/>
        </w:rPr>
      </w:pPr>
      <w:r>
        <w:rPr>
          <w:sz w:val="32"/>
          <w:szCs w:val="32"/>
        </w:rPr>
        <w:t>（三）因违纪违法被有关部门立案审查调查或受到违纪违法处分处罚仍在处分处罚影响期内的。</w:t>
      </w:r>
    </w:p>
    <w:p>
      <w:pPr>
        <w:spacing w:line="594" w:lineRule="exact"/>
        <w:ind w:firstLine="640" w:firstLineChars="200"/>
        <w:rPr>
          <w:rFonts w:hint="eastAsia" w:ascii="黑体" w:eastAsia="黑体"/>
          <w:bCs/>
          <w:sz w:val="32"/>
          <w:szCs w:val="32"/>
        </w:rPr>
      </w:pPr>
      <w:r>
        <w:rPr>
          <w:rFonts w:hint="eastAsia" w:ascii="黑体" w:eastAsia="黑体"/>
          <w:bCs/>
          <w:sz w:val="32"/>
          <w:szCs w:val="32"/>
        </w:rPr>
        <w:t>第三条  学历、资历条件</w:t>
      </w:r>
    </w:p>
    <w:p>
      <w:pPr>
        <w:spacing w:line="594" w:lineRule="exact"/>
        <w:ind w:firstLine="640" w:firstLineChars="200"/>
        <w:rPr>
          <w:sz w:val="32"/>
          <w:szCs w:val="32"/>
        </w:rPr>
      </w:pPr>
      <w:r>
        <w:rPr>
          <w:sz w:val="32"/>
          <w:szCs w:val="32"/>
        </w:rPr>
        <w:t>具备下列条件之一：</w:t>
      </w:r>
    </w:p>
    <w:p>
      <w:pPr>
        <w:spacing w:line="594" w:lineRule="exact"/>
        <w:ind w:firstLine="640" w:firstLineChars="200"/>
        <w:rPr>
          <w:sz w:val="32"/>
          <w:szCs w:val="32"/>
        </w:rPr>
      </w:pPr>
      <w:r>
        <w:rPr>
          <w:sz w:val="32"/>
          <w:szCs w:val="32"/>
        </w:rPr>
        <w:t>（一）具备博士学位，取得经济系列中级职称后，从事与经济相关专业工作满2年；或具备硕士学位，或第二学士学位或研究生班毕业，或大学本科学历或学士学位，取得经济系列中级职称后，从事与经济相关专业工作满5年；或具备大学专科学历，取得经济系列中级职称后，从事与经济相关专业工作满10年。</w:t>
      </w:r>
    </w:p>
    <w:p>
      <w:pPr>
        <w:spacing w:line="594" w:lineRule="exact"/>
        <w:ind w:firstLine="640" w:firstLineChars="200"/>
        <w:rPr>
          <w:sz w:val="32"/>
          <w:szCs w:val="32"/>
        </w:rPr>
      </w:pPr>
      <w:r>
        <w:rPr>
          <w:sz w:val="32"/>
          <w:szCs w:val="32"/>
        </w:rPr>
        <w:t>（二）具备以上学历，取得会计、统计、审计系列中级职称后，符合以上相应资历条件。</w:t>
      </w:r>
    </w:p>
    <w:p>
      <w:pPr>
        <w:spacing w:line="594" w:lineRule="exact"/>
        <w:ind w:firstLine="640" w:firstLineChars="200"/>
        <w:rPr>
          <w:sz w:val="32"/>
          <w:szCs w:val="32"/>
        </w:rPr>
      </w:pPr>
      <w:r>
        <w:rPr>
          <w:sz w:val="32"/>
          <w:szCs w:val="32"/>
        </w:rPr>
        <w:t>（三）具备以上学历，取得对应经济师职称的相关职业资格后，符合以上相应资历条件。</w:t>
      </w:r>
    </w:p>
    <w:p>
      <w:pPr>
        <w:spacing w:line="594" w:lineRule="exact"/>
        <w:ind w:firstLine="640" w:firstLineChars="200"/>
        <w:rPr>
          <w:rFonts w:hint="eastAsia" w:ascii="黑体" w:eastAsia="黑体"/>
          <w:sz w:val="32"/>
          <w:szCs w:val="32"/>
        </w:rPr>
      </w:pPr>
      <w:r>
        <w:rPr>
          <w:rFonts w:hint="eastAsia" w:ascii="黑体" w:eastAsia="黑体"/>
          <w:bCs/>
          <w:sz w:val="32"/>
          <w:szCs w:val="32"/>
        </w:rPr>
        <w:t>第四条  资格考试条件</w:t>
      </w:r>
    </w:p>
    <w:p>
      <w:pPr>
        <w:spacing w:line="594" w:lineRule="exact"/>
        <w:ind w:firstLine="640" w:firstLineChars="200"/>
        <w:rPr>
          <w:sz w:val="32"/>
          <w:szCs w:val="32"/>
        </w:rPr>
      </w:pPr>
      <w:r>
        <w:rPr>
          <w:sz w:val="32"/>
          <w:szCs w:val="32"/>
        </w:rPr>
        <w:t>参加全国统一组织的高级经济专业技术资格考试，成绩达到全国或自治区合格标准，且在有效期内。</w:t>
      </w:r>
    </w:p>
    <w:p>
      <w:pPr>
        <w:spacing w:line="594" w:lineRule="exact"/>
        <w:ind w:firstLine="640" w:firstLineChars="200"/>
        <w:rPr>
          <w:rFonts w:hint="eastAsia" w:ascii="黑体" w:eastAsia="黑体"/>
          <w:bCs/>
          <w:sz w:val="32"/>
          <w:szCs w:val="32"/>
        </w:rPr>
      </w:pPr>
      <w:r>
        <w:rPr>
          <w:rFonts w:hint="eastAsia" w:ascii="黑体" w:eastAsia="黑体"/>
          <w:bCs/>
          <w:sz w:val="32"/>
          <w:szCs w:val="32"/>
        </w:rPr>
        <w:t>第五条  外语和计算机应用能力条件</w:t>
      </w:r>
    </w:p>
    <w:p>
      <w:pPr>
        <w:spacing w:line="594" w:lineRule="exact"/>
        <w:ind w:firstLine="640" w:firstLineChars="200"/>
        <w:rPr>
          <w:sz w:val="32"/>
          <w:szCs w:val="32"/>
        </w:rPr>
      </w:pPr>
      <w:r>
        <w:rPr>
          <w:sz w:val="32"/>
          <w:szCs w:val="32"/>
        </w:rPr>
        <w:t>对外语和计算机应用能力条件不作统一要求，由各高级评委会相应职改办按照自治区职称制度改革有关文件要求，在年度部署文中予以明确。</w:t>
      </w:r>
    </w:p>
    <w:p>
      <w:pPr>
        <w:spacing w:line="594" w:lineRule="exact"/>
        <w:ind w:firstLine="640" w:firstLineChars="200"/>
        <w:rPr>
          <w:rFonts w:hint="eastAsia" w:ascii="黑体" w:eastAsia="黑体"/>
          <w:bCs/>
          <w:sz w:val="32"/>
          <w:szCs w:val="32"/>
        </w:rPr>
      </w:pPr>
      <w:r>
        <w:rPr>
          <w:rFonts w:hint="eastAsia" w:ascii="黑体" w:eastAsia="黑体"/>
          <w:bCs/>
          <w:sz w:val="32"/>
          <w:szCs w:val="32"/>
        </w:rPr>
        <w:t>第六条  继续教育条件</w:t>
      </w:r>
    </w:p>
    <w:p>
      <w:pPr>
        <w:spacing w:line="594" w:lineRule="exact"/>
        <w:ind w:firstLine="640" w:firstLineChars="200"/>
        <w:rPr>
          <w:sz w:val="32"/>
          <w:szCs w:val="32"/>
        </w:rPr>
      </w:pPr>
      <w:r>
        <w:rPr>
          <w:sz w:val="32"/>
          <w:szCs w:val="32"/>
        </w:rPr>
        <w:t>完成本部门、行业及政府人力资源和社会保障部门规定的继续教育任务。</w:t>
      </w:r>
    </w:p>
    <w:p>
      <w:pPr>
        <w:spacing w:line="594" w:lineRule="exact"/>
        <w:ind w:firstLine="640" w:firstLineChars="200"/>
        <w:rPr>
          <w:rFonts w:hint="eastAsia" w:ascii="黑体" w:eastAsia="黑体"/>
          <w:bCs/>
          <w:sz w:val="32"/>
          <w:szCs w:val="32"/>
        </w:rPr>
      </w:pPr>
      <w:r>
        <w:rPr>
          <w:rFonts w:hint="eastAsia" w:ascii="黑体" w:eastAsia="黑体"/>
          <w:bCs/>
          <w:sz w:val="32"/>
          <w:szCs w:val="32"/>
        </w:rPr>
        <w:t>第七条  专业技术工作经历条件</w:t>
      </w:r>
    </w:p>
    <w:p>
      <w:pPr>
        <w:spacing w:line="594" w:lineRule="exact"/>
        <w:ind w:firstLine="640" w:firstLineChars="200"/>
        <w:rPr>
          <w:sz w:val="32"/>
          <w:szCs w:val="32"/>
        </w:rPr>
      </w:pPr>
      <w:r>
        <w:rPr>
          <w:sz w:val="32"/>
          <w:szCs w:val="32"/>
        </w:rPr>
        <w:t>取得中级职称以来，具备下列条件之一：</w:t>
      </w:r>
    </w:p>
    <w:p>
      <w:pPr>
        <w:spacing w:line="594" w:lineRule="exact"/>
        <w:ind w:firstLine="640" w:firstLineChars="200"/>
        <w:rPr>
          <w:sz w:val="32"/>
          <w:szCs w:val="32"/>
        </w:rPr>
      </w:pPr>
      <w:r>
        <w:rPr>
          <w:sz w:val="32"/>
          <w:szCs w:val="32"/>
        </w:rPr>
        <w:t>（一）主持或作为骨干参与省（部）级项目1项或市（厅）</w:t>
      </w:r>
      <w:r>
        <w:rPr>
          <w:spacing w:val="-4"/>
          <w:sz w:val="32"/>
          <w:szCs w:val="32"/>
        </w:rPr>
        <w:t>级2项以上重点项目的筹备、建设、竣工验收、运营等全过程工</w:t>
      </w:r>
      <w:r>
        <w:rPr>
          <w:sz w:val="32"/>
          <w:szCs w:val="32"/>
        </w:rPr>
        <w:t>作。</w:t>
      </w:r>
    </w:p>
    <w:p>
      <w:pPr>
        <w:spacing w:line="594" w:lineRule="exact"/>
        <w:ind w:firstLine="640" w:firstLineChars="200"/>
        <w:rPr>
          <w:sz w:val="32"/>
          <w:szCs w:val="32"/>
        </w:rPr>
      </w:pPr>
      <w:r>
        <w:rPr>
          <w:sz w:val="32"/>
          <w:szCs w:val="32"/>
        </w:rPr>
        <w:t>（二）主持或作为骨干承担省（部）级1项或市（厅）级2项以上课题研究工作。</w:t>
      </w:r>
    </w:p>
    <w:p>
      <w:pPr>
        <w:spacing w:line="594" w:lineRule="exact"/>
        <w:ind w:firstLine="640" w:firstLineChars="200"/>
        <w:rPr>
          <w:sz w:val="32"/>
          <w:szCs w:val="32"/>
        </w:rPr>
      </w:pPr>
      <w:r>
        <w:rPr>
          <w:sz w:val="32"/>
          <w:szCs w:val="32"/>
        </w:rPr>
        <w:t>（三）主持或作为骨干参与制定市（厅）级以上行业规划、</w:t>
      </w:r>
      <w:r>
        <w:rPr>
          <w:spacing w:val="-4"/>
          <w:sz w:val="32"/>
          <w:szCs w:val="32"/>
        </w:rPr>
        <w:t>重要经济政策规章或市级以上国民经济与社会发展规划2项以</w:t>
      </w:r>
      <w:r>
        <w:rPr>
          <w:sz w:val="32"/>
          <w:szCs w:val="32"/>
        </w:rPr>
        <w:t>上。</w:t>
      </w:r>
    </w:p>
    <w:p>
      <w:pPr>
        <w:spacing w:line="594" w:lineRule="exact"/>
        <w:ind w:firstLine="640" w:firstLineChars="200"/>
        <w:rPr>
          <w:sz w:val="32"/>
          <w:szCs w:val="32"/>
        </w:rPr>
      </w:pPr>
      <w:r>
        <w:rPr>
          <w:sz w:val="32"/>
          <w:szCs w:val="32"/>
        </w:rPr>
        <w:t>（四）主持事业单位、大中型企业的经营管理工作连续2年以上，或作为骨干参与事业单位、大中型企业的经营管理工作连续3年以上，或主持小型企业经营管理工作连续3年以上。</w:t>
      </w:r>
    </w:p>
    <w:p>
      <w:pPr>
        <w:spacing w:line="594" w:lineRule="exact"/>
        <w:ind w:firstLine="640" w:firstLineChars="200"/>
        <w:rPr>
          <w:sz w:val="32"/>
          <w:szCs w:val="32"/>
        </w:rPr>
      </w:pPr>
      <w:r>
        <w:rPr>
          <w:sz w:val="32"/>
          <w:szCs w:val="32"/>
        </w:rPr>
        <w:t>（五）主持事业单位、大中型企业的主要经济部门工作连续5年以上，主持完成本单位重大经营管理项目2项以上，并取得显著成果。</w:t>
      </w:r>
    </w:p>
    <w:p>
      <w:pPr>
        <w:spacing w:line="594" w:lineRule="exact"/>
        <w:ind w:firstLine="640" w:firstLineChars="200"/>
        <w:rPr>
          <w:sz w:val="32"/>
          <w:szCs w:val="32"/>
        </w:rPr>
      </w:pPr>
      <w:r>
        <w:rPr>
          <w:sz w:val="32"/>
          <w:szCs w:val="32"/>
        </w:rPr>
        <w:t>（六）主持或作为骨干参与省（部）级1项或市（厅）级2项以上重大经济活动，取得较好成绩。</w:t>
      </w:r>
    </w:p>
    <w:p>
      <w:pPr>
        <w:spacing w:line="594" w:lineRule="exact"/>
        <w:ind w:firstLine="640" w:firstLineChars="200"/>
        <w:rPr>
          <w:rFonts w:hint="eastAsia" w:ascii="黑体" w:eastAsia="黑体"/>
          <w:bCs/>
          <w:sz w:val="32"/>
          <w:szCs w:val="32"/>
        </w:rPr>
      </w:pPr>
      <w:r>
        <w:rPr>
          <w:rFonts w:hint="eastAsia" w:ascii="黑体" w:eastAsia="黑体"/>
          <w:bCs/>
          <w:sz w:val="32"/>
          <w:szCs w:val="32"/>
        </w:rPr>
        <w:t>第八条  业绩成果条件</w:t>
      </w:r>
    </w:p>
    <w:p>
      <w:pPr>
        <w:spacing w:line="594" w:lineRule="exact"/>
        <w:ind w:firstLine="640" w:firstLineChars="200"/>
        <w:rPr>
          <w:sz w:val="32"/>
          <w:szCs w:val="32"/>
        </w:rPr>
      </w:pPr>
      <w:r>
        <w:rPr>
          <w:sz w:val="32"/>
          <w:szCs w:val="32"/>
        </w:rPr>
        <w:t>取得中级职称以来，具备下列条件之一：</w:t>
      </w:r>
    </w:p>
    <w:p>
      <w:pPr>
        <w:spacing w:line="594" w:lineRule="exact"/>
        <w:ind w:firstLine="640" w:firstLineChars="200"/>
        <w:rPr>
          <w:sz w:val="32"/>
          <w:szCs w:val="32"/>
          <w:highlight w:val="yellow"/>
        </w:rPr>
      </w:pPr>
      <w:r>
        <w:rPr>
          <w:sz w:val="32"/>
          <w:szCs w:val="32"/>
        </w:rPr>
        <w:t>（一）获得省（部）级经济类成果三等奖以上，或市（厅）级经济类成果二等奖以上，或市（厅）级经济类成果三等奖2项以上。</w:t>
      </w:r>
    </w:p>
    <w:p>
      <w:pPr>
        <w:spacing w:line="594" w:lineRule="exact"/>
        <w:ind w:firstLine="640" w:firstLineChars="200"/>
        <w:rPr>
          <w:sz w:val="32"/>
          <w:szCs w:val="32"/>
        </w:rPr>
      </w:pPr>
      <w:r>
        <w:rPr>
          <w:sz w:val="32"/>
          <w:szCs w:val="32"/>
        </w:rPr>
        <w:t>县级以下单位的申报人员，获市（厅）级经济类成果三等奖1项以上。</w:t>
      </w:r>
    </w:p>
    <w:p>
      <w:pPr>
        <w:spacing w:line="594" w:lineRule="exact"/>
        <w:ind w:firstLine="640" w:firstLineChars="200"/>
        <w:rPr>
          <w:sz w:val="32"/>
          <w:szCs w:val="32"/>
        </w:rPr>
      </w:pPr>
      <w:r>
        <w:rPr>
          <w:sz w:val="32"/>
          <w:szCs w:val="32"/>
        </w:rPr>
        <w:t>（二）从事经济工作业绩显著，获国家级或自治区表彰（奖项须经全国或自治区评比达标表彰工作协调小组批准）。</w:t>
      </w:r>
    </w:p>
    <w:p>
      <w:pPr>
        <w:spacing w:line="594" w:lineRule="exact"/>
        <w:ind w:firstLine="640" w:firstLineChars="200"/>
        <w:rPr>
          <w:sz w:val="32"/>
          <w:szCs w:val="32"/>
        </w:rPr>
      </w:pPr>
      <w:r>
        <w:rPr>
          <w:sz w:val="32"/>
          <w:szCs w:val="32"/>
        </w:rPr>
        <w:t>（三）广西优秀企业家荣誉称号获得者。</w:t>
      </w:r>
    </w:p>
    <w:p>
      <w:pPr>
        <w:spacing w:line="594" w:lineRule="exact"/>
        <w:ind w:firstLine="640" w:firstLineChars="200"/>
        <w:rPr>
          <w:sz w:val="32"/>
          <w:szCs w:val="32"/>
        </w:rPr>
      </w:pPr>
      <w:r>
        <w:rPr>
          <w:sz w:val="32"/>
          <w:szCs w:val="32"/>
        </w:rPr>
        <w:t>（四）主持或作为骨干完成的重点项目投产后取得良好的经济效益、社会效益和生态效益。</w:t>
      </w:r>
    </w:p>
    <w:p>
      <w:pPr>
        <w:spacing w:line="594" w:lineRule="exact"/>
        <w:ind w:firstLine="640" w:firstLineChars="200"/>
        <w:rPr>
          <w:sz w:val="32"/>
          <w:szCs w:val="32"/>
        </w:rPr>
      </w:pPr>
      <w:r>
        <w:rPr>
          <w:sz w:val="32"/>
          <w:szCs w:val="32"/>
        </w:rPr>
        <w:t>（五）主持或作为骨干完成的课题研究成果通过主管部门的评审验收。</w:t>
      </w:r>
    </w:p>
    <w:p>
      <w:pPr>
        <w:spacing w:line="594" w:lineRule="exact"/>
        <w:ind w:firstLine="640" w:firstLineChars="200"/>
        <w:rPr>
          <w:sz w:val="32"/>
          <w:szCs w:val="32"/>
        </w:rPr>
      </w:pPr>
      <w:r>
        <w:rPr>
          <w:sz w:val="32"/>
          <w:szCs w:val="32"/>
        </w:rPr>
        <w:t>（六）主持或作为骨干参与制定的行业规划、经济政策规章、行业标准或国民经济与社会发展规划等，经主管部门批准或采纳，颁布实施后取得了良好的经济效益和社会效益。</w:t>
      </w:r>
    </w:p>
    <w:p>
      <w:pPr>
        <w:spacing w:line="594" w:lineRule="exact"/>
        <w:ind w:firstLine="640" w:firstLineChars="200"/>
        <w:rPr>
          <w:sz w:val="32"/>
          <w:szCs w:val="32"/>
        </w:rPr>
      </w:pPr>
      <w:r>
        <w:rPr>
          <w:sz w:val="32"/>
          <w:szCs w:val="32"/>
        </w:rPr>
        <w:t>（七）主持企业的经营管理工作期间，企业首次入围广西企业100强、制造业50强或服务业50强榜单，或连续3年排名提升（稳定）。</w:t>
      </w:r>
    </w:p>
    <w:p>
      <w:pPr>
        <w:spacing w:line="594" w:lineRule="exact"/>
        <w:ind w:firstLine="640" w:firstLineChars="200"/>
        <w:rPr>
          <w:sz w:val="32"/>
          <w:szCs w:val="32"/>
        </w:rPr>
      </w:pPr>
      <w:r>
        <w:rPr>
          <w:sz w:val="32"/>
          <w:szCs w:val="32"/>
        </w:rPr>
        <w:t>（八）主持或作为骨干参与大中型企业的经营管理工作期间，企业取得显著的经济效益、社会效益和生态效益，资产规模、营业收入、利润、纳税、研发、就业、节能减排等3项以上主要指标取得明显提升。</w:t>
      </w:r>
    </w:p>
    <w:p>
      <w:pPr>
        <w:spacing w:line="594" w:lineRule="exact"/>
        <w:ind w:firstLine="640" w:firstLineChars="200"/>
        <w:rPr>
          <w:sz w:val="32"/>
          <w:szCs w:val="32"/>
        </w:rPr>
      </w:pPr>
      <w:r>
        <w:rPr>
          <w:sz w:val="32"/>
          <w:szCs w:val="32"/>
        </w:rPr>
        <w:t>（九）主持小型企业的经营管理工作期间，企业资产规模、营业收入、利润、纳税、研发、就业、节能减排等3项以上主要指标连续3年持续提升。</w:t>
      </w:r>
    </w:p>
    <w:p>
      <w:pPr>
        <w:spacing w:line="594" w:lineRule="exact"/>
        <w:ind w:firstLine="640" w:firstLineChars="200"/>
        <w:rPr>
          <w:sz w:val="32"/>
          <w:szCs w:val="32"/>
        </w:rPr>
      </w:pPr>
      <w:r>
        <w:rPr>
          <w:sz w:val="32"/>
          <w:szCs w:val="32"/>
        </w:rPr>
        <w:t>（十）主持或作为骨干参与事业单位经济管理工作期间，单位的管理模式、服务水平和创新能力等获得市（厅）级以上主管部门认可推广。</w:t>
      </w:r>
    </w:p>
    <w:p>
      <w:pPr>
        <w:spacing w:line="594" w:lineRule="exact"/>
        <w:ind w:firstLine="640" w:firstLineChars="200"/>
        <w:rPr>
          <w:sz w:val="32"/>
          <w:szCs w:val="32"/>
        </w:rPr>
      </w:pPr>
      <w:r>
        <w:rPr>
          <w:sz w:val="32"/>
          <w:szCs w:val="32"/>
        </w:rPr>
        <w:t>（十一）主持或作为骨干参与企事业单位经济管理工作期间，开展重大疑难问题或关键性的业务问题研究，研究成果或建议被市（厅）级以上主管部门采纳或认可。</w:t>
      </w:r>
    </w:p>
    <w:p>
      <w:pPr>
        <w:spacing w:line="594" w:lineRule="exact"/>
        <w:ind w:firstLine="640" w:firstLineChars="200"/>
        <w:rPr>
          <w:sz w:val="32"/>
          <w:szCs w:val="32"/>
        </w:rPr>
      </w:pPr>
      <w:r>
        <w:rPr>
          <w:sz w:val="32"/>
          <w:szCs w:val="32"/>
        </w:rPr>
        <w:t>（十二）主持或作为骨干参与企业经济管理工作期间，提出新的业态和模式、资本运作方式或企业管理方式等，为企业创新发展做出了突出贡献。</w:t>
      </w:r>
    </w:p>
    <w:p>
      <w:pPr>
        <w:spacing w:line="594" w:lineRule="exact"/>
        <w:ind w:firstLine="640" w:firstLineChars="200"/>
        <w:rPr>
          <w:sz w:val="32"/>
          <w:szCs w:val="32"/>
        </w:rPr>
      </w:pPr>
      <w:r>
        <w:rPr>
          <w:sz w:val="32"/>
          <w:szCs w:val="32"/>
        </w:rPr>
        <w:t>（十三）主持或作为骨干为企业提高经营管理水平做出重要贡献，使企业取得较好的经济效益，获得省（部）级企业管理成果二等奖以上，或三等奖（排名前5）。</w:t>
      </w:r>
    </w:p>
    <w:p>
      <w:pPr>
        <w:spacing w:line="594" w:lineRule="exact"/>
        <w:ind w:firstLine="640" w:firstLineChars="200"/>
        <w:rPr>
          <w:sz w:val="32"/>
          <w:szCs w:val="32"/>
        </w:rPr>
      </w:pPr>
      <w:r>
        <w:rPr>
          <w:sz w:val="32"/>
          <w:szCs w:val="32"/>
        </w:rPr>
        <w:t>（十四）主持事业单位、大中型企业的主要经济部门工作期间，创新意识强，对本专业有独到的见解，提出较高价值的建议，为单位（部门）提高效率（或效益）作出重要贡献，取得良好的经济效益和社会效益。</w:t>
      </w:r>
    </w:p>
    <w:p>
      <w:pPr>
        <w:spacing w:line="594" w:lineRule="exact"/>
        <w:ind w:firstLine="640" w:firstLineChars="200"/>
        <w:rPr>
          <w:sz w:val="32"/>
          <w:szCs w:val="32"/>
        </w:rPr>
      </w:pPr>
      <w:r>
        <w:rPr>
          <w:sz w:val="32"/>
          <w:szCs w:val="32"/>
        </w:rPr>
        <w:t>（十五）主持或作为骨干完成审查知识产权入股、转让、质押融资、实施许可等项目，以及代理的专利案件，实施成果应用转化后提升产业或企业创新竞争力，取得较好的经济效益、社会效益和生态效益。</w:t>
      </w:r>
    </w:p>
    <w:p>
      <w:pPr>
        <w:spacing w:line="594" w:lineRule="exact"/>
        <w:ind w:firstLine="640" w:firstLineChars="200"/>
        <w:rPr>
          <w:sz w:val="32"/>
          <w:szCs w:val="32"/>
        </w:rPr>
      </w:pPr>
      <w:r>
        <w:rPr>
          <w:sz w:val="32"/>
          <w:szCs w:val="32"/>
        </w:rPr>
        <w:t>（十六）主持或作为骨干完成知识产权导航、预警、信息化建设工作，对提升产业或企业创新竞争力起到显著作用。</w:t>
      </w:r>
    </w:p>
    <w:p>
      <w:pPr>
        <w:spacing w:line="594" w:lineRule="exact"/>
        <w:ind w:firstLine="640" w:firstLineChars="200"/>
        <w:rPr>
          <w:sz w:val="32"/>
          <w:szCs w:val="32"/>
        </w:rPr>
      </w:pPr>
      <w:r>
        <w:rPr>
          <w:sz w:val="32"/>
          <w:szCs w:val="32"/>
        </w:rPr>
        <w:t>（十七）主持或作为骨干处理知识产权保护纠纷案件，或高</w:t>
      </w:r>
      <w:r>
        <w:rPr>
          <w:spacing w:val="-4"/>
          <w:sz w:val="32"/>
          <w:szCs w:val="32"/>
        </w:rPr>
        <w:t>效打击仿制、假冒等侵权行为，为企业或行业减少较大的经济损</w:t>
      </w:r>
      <w:r>
        <w:rPr>
          <w:sz w:val="32"/>
          <w:szCs w:val="32"/>
        </w:rPr>
        <w:t>失。</w:t>
      </w:r>
    </w:p>
    <w:p>
      <w:pPr>
        <w:spacing w:line="594" w:lineRule="exact"/>
        <w:ind w:firstLine="640" w:firstLineChars="200"/>
        <w:rPr>
          <w:rFonts w:hint="eastAsia" w:ascii="黑体" w:eastAsia="黑体"/>
          <w:bCs/>
          <w:sz w:val="32"/>
          <w:szCs w:val="32"/>
        </w:rPr>
      </w:pPr>
      <w:r>
        <w:rPr>
          <w:rFonts w:hint="eastAsia" w:ascii="黑体" w:eastAsia="黑体"/>
          <w:bCs/>
          <w:sz w:val="32"/>
          <w:szCs w:val="32"/>
        </w:rPr>
        <w:t>第九条  论文、著作条件</w:t>
      </w:r>
    </w:p>
    <w:p>
      <w:pPr>
        <w:spacing w:line="594" w:lineRule="exact"/>
        <w:ind w:firstLine="640" w:firstLineChars="200"/>
        <w:rPr>
          <w:sz w:val="32"/>
          <w:szCs w:val="32"/>
        </w:rPr>
      </w:pPr>
      <w:r>
        <w:rPr>
          <w:sz w:val="32"/>
          <w:szCs w:val="32"/>
        </w:rPr>
        <w:t>取得中级职称以来，具备下列条件之一：</w:t>
      </w:r>
    </w:p>
    <w:p>
      <w:pPr>
        <w:spacing w:line="594" w:lineRule="exact"/>
        <w:ind w:firstLine="640" w:firstLineChars="200"/>
        <w:rPr>
          <w:sz w:val="32"/>
          <w:szCs w:val="32"/>
        </w:rPr>
      </w:pPr>
      <w:r>
        <w:rPr>
          <w:sz w:val="32"/>
          <w:szCs w:val="32"/>
        </w:rPr>
        <w:t>（一）独著或作为主要编著者公开出版本专业学术著作或教材1部以上。</w:t>
      </w:r>
    </w:p>
    <w:p>
      <w:pPr>
        <w:spacing w:line="594" w:lineRule="exact"/>
        <w:ind w:firstLine="640" w:firstLineChars="200"/>
        <w:rPr>
          <w:sz w:val="32"/>
          <w:szCs w:val="32"/>
        </w:rPr>
      </w:pPr>
      <w:r>
        <w:rPr>
          <w:sz w:val="32"/>
          <w:szCs w:val="32"/>
        </w:rPr>
        <w:t>（二）独著、第一作者或通讯作者在公开出版的专业期刊发表本专业论文2篇以上。</w:t>
      </w:r>
    </w:p>
    <w:p>
      <w:pPr>
        <w:spacing w:line="594" w:lineRule="exact"/>
        <w:ind w:firstLine="640" w:firstLineChars="200"/>
        <w:rPr>
          <w:sz w:val="32"/>
          <w:szCs w:val="32"/>
        </w:rPr>
      </w:pPr>
      <w:r>
        <w:rPr>
          <w:sz w:val="32"/>
          <w:szCs w:val="32"/>
        </w:rPr>
        <w:t>（三）独著、第一作者或通讯作者在公开出版的专业期刊发表本专业论文1篇以上，以及在国际或全国学术会议</w:t>
      </w:r>
      <w:r>
        <w:rPr>
          <w:sz w:val="32"/>
          <w:szCs w:val="32"/>
          <w:lang w:val="en-US" w:eastAsia="zh-CN"/>
        </w:rPr>
        <w:t>宣读专业论文</w:t>
      </w:r>
      <w:r>
        <w:rPr>
          <w:sz w:val="32"/>
          <w:szCs w:val="32"/>
        </w:rPr>
        <w:t>1篇以上或在省级学术会议</w:t>
      </w:r>
      <w:r>
        <w:rPr>
          <w:sz w:val="32"/>
          <w:szCs w:val="32"/>
          <w:lang w:val="en-US" w:eastAsia="zh-CN"/>
        </w:rPr>
        <w:t>宣读专业论文</w:t>
      </w:r>
      <w:r>
        <w:rPr>
          <w:sz w:val="32"/>
          <w:szCs w:val="32"/>
        </w:rPr>
        <w:t>2篇以上（提供论文宣读证明）。</w:t>
      </w:r>
    </w:p>
    <w:p>
      <w:pPr>
        <w:spacing w:line="594" w:lineRule="exact"/>
        <w:ind w:firstLine="640" w:firstLineChars="200"/>
        <w:rPr>
          <w:sz w:val="32"/>
          <w:szCs w:val="32"/>
        </w:rPr>
      </w:pPr>
      <w:r>
        <w:rPr>
          <w:sz w:val="32"/>
          <w:szCs w:val="32"/>
        </w:rPr>
        <w:t>（四）独著、第一作者或通讯作者在公开出版的专业期刊发表本专业论文1篇以上，以及作为主要承担人（排名前3）为解决本地区、本行业、本单位重大经济问题撰写有一定水平的专项调查报告、经济分析报告或重大项目立项研究报告等2篇以上（在企业或县级以下事业单位工作的申报人员要求1篇以上），每篇3000字以上，成果得到上级单位采纳或认可。</w:t>
      </w:r>
    </w:p>
    <w:p>
      <w:pPr>
        <w:spacing w:line="594" w:lineRule="exact"/>
        <w:ind w:firstLine="640" w:firstLineChars="200"/>
        <w:rPr>
          <w:sz w:val="32"/>
          <w:szCs w:val="32"/>
        </w:rPr>
      </w:pPr>
      <w:r>
        <w:rPr>
          <w:sz w:val="32"/>
          <w:szCs w:val="32"/>
        </w:rPr>
        <w:t>（五）个人撰写的决策咨询类信息被自治区级以上党委、政府采用的可以替代论文条件，按自治区有关规定执行。</w:t>
      </w:r>
    </w:p>
    <w:p>
      <w:pPr>
        <w:spacing w:line="594" w:lineRule="exact"/>
        <w:ind w:firstLine="640" w:firstLineChars="200"/>
        <w:rPr>
          <w:rFonts w:hint="eastAsia" w:ascii="黑体" w:eastAsia="黑体"/>
          <w:bCs/>
          <w:sz w:val="32"/>
          <w:szCs w:val="32"/>
        </w:rPr>
      </w:pPr>
      <w:r>
        <w:rPr>
          <w:rFonts w:hint="eastAsia" w:ascii="黑体" w:eastAsia="黑体"/>
          <w:bCs/>
          <w:sz w:val="32"/>
          <w:szCs w:val="32"/>
        </w:rPr>
        <w:t>第十条  附则</w:t>
      </w:r>
    </w:p>
    <w:p>
      <w:pPr>
        <w:spacing w:line="594" w:lineRule="exact"/>
        <w:ind w:firstLine="640" w:firstLineChars="200"/>
        <w:rPr>
          <w:sz w:val="32"/>
          <w:szCs w:val="32"/>
        </w:rPr>
      </w:pPr>
      <w:r>
        <w:rPr>
          <w:sz w:val="32"/>
          <w:szCs w:val="32"/>
        </w:rPr>
        <w:t>（一）经济系列副高级职称包含高级经济师、高级人力资源管理师、高级知识产权师。高级人力资源管理师和高级知识产权师如另行制定单独评审条件，从其规定。</w:t>
      </w:r>
    </w:p>
    <w:p>
      <w:pPr>
        <w:spacing w:line="594" w:lineRule="exact"/>
        <w:ind w:firstLine="640" w:firstLineChars="200"/>
        <w:rPr>
          <w:sz w:val="32"/>
          <w:szCs w:val="32"/>
        </w:rPr>
      </w:pPr>
      <w:r>
        <w:rPr>
          <w:sz w:val="32"/>
          <w:szCs w:val="32"/>
        </w:rPr>
        <w:t>（二）本条件自下发之日起执行，此前与本条件不一致的，以本条件为准。</w:t>
      </w:r>
    </w:p>
    <w:p>
      <w:pPr>
        <w:spacing w:line="594" w:lineRule="exact"/>
        <w:ind w:firstLine="640" w:firstLineChars="200"/>
        <w:rPr>
          <w:sz w:val="32"/>
          <w:szCs w:val="32"/>
        </w:rPr>
      </w:pPr>
      <w:r>
        <w:rPr>
          <w:sz w:val="32"/>
          <w:szCs w:val="32"/>
        </w:rPr>
        <w:t>（三）本条件由自治区职改办、自治区工程技术经济专业职改办按职责分工负责解释。</w:t>
      </w:r>
    </w:p>
    <w:p>
      <w:pPr>
        <w:spacing w:line="594" w:lineRule="exact"/>
        <w:rPr>
          <w:sz w:val="32"/>
          <w:szCs w:val="32"/>
        </w:rPr>
      </w:pPr>
      <w:r>
        <w:rPr>
          <w:sz w:val="32"/>
          <w:szCs w:val="32"/>
        </w:rPr>
        <w:t xml:space="preserve">    （四）与本条件相关的词（语）解释见附录。</w:t>
      </w:r>
    </w:p>
    <w:p>
      <w:pPr>
        <w:spacing w:line="594" w:lineRule="exact"/>
        <w:jc w:val="center"/>
        <w:rPr>
          <w:sz w:val="32"/>
          <w:szCs w:val="32"/>
        </w:rPr>
      </w:pPr>
    </w:p>
    <w:p>
      <w:pPr>
        <w:spacing w:line="594" w:lineRule="exact"/>
        <w:jc w:val="center"/>
        <w:rPr>
          <w:sz w:val="44"/>
          <w:szCs w:val="44"/>
        </w:rPr>
      </w:pPr>
    </w:p>
    <w:p>
      <w:pPr>
        <w:spacing w:line="594" w:lineRule="exact"/>
        <w:jc w:val="center"/>
        <w:rPr>
          <w:sz w:val="44"/>
          <w:szCs w:val="44"/>
        </w:rPr>
      </w:pPr>
      <w:r>
        <w:rPr>
          <w:sz w:val="44"/>
          <w:szCs w:val="44"/>
        </w:rPr>
        <w:br w:type="page"/>
      </w:r>
    </w:p>
    <w:p>
      <w:pPr>
        <w:spacing w:line="594" w:lineRule="exact"/>
        <w:jc w:val="center"/>
        <w:rPr>
          <w:rFonts w:hint="eastAsia" w:ascii="黑体" w:eastAsia="黑体"/>
          <w:sz w:val="36"/>
          <w:szCs w:val="36"/>
        </w:rPr>
      </w:pPr>
      <w:r>
        <w:rPr>
          <w:rFonts w:hint="eastAsia" w:ascii="黑体" w:eastAsia="黑体"/>
          <w:sz w:val="36"/>
          <w:szCs w:val="36"/>
        </w:rPr>
        <w:t>附录：与本条件相关的词（语）或概念的特定解释</w:t>
      </w:r>
    </w:p>
    <w:p>
      <w:pPr>
        <w:spacing w:line="594" w:lineRule="exact"/>
        <w:ind w:firstLine="720" w:firstLineChars="200"/>
        <w:rPr>
          <w:sz w:val="36"/>
          <w:szCs w:val="36"/>
        </w:rPr>
      </w:pPr>
    </w:p>
    <w:p>
      <w:pPr>
        <w:spacing w:line="594" w:lineRule="exact"/>
        <w:ind w:firstLine="640" w:firstLineChars="200"/>
        <w:rPr>
          <w:sz w:val="32"/>
          <w:szCs w:val="32"/>
        </w:rPr>
      </w:pPr>
      <w:r>
        <w:rPr>
          <w:sz w:val="32"/>
          <w:szCs w:val="32"/>
        </w:rPr>
        <w:t>一</w:t>
      </w:r>
      <w:r>
        <w:rPr>
          <w:rFonts w:hint="eastAsia"/>
          <w:sz w:val="32"/>
          <w:szCs w:val="32"/>
        </w:rPr>
        <w:t>、</w:t>
      </w:r>
      <w:r>
        <w:rPr>
          <w:sz w:val="32"/>
          <w:szCs w:val="32"/>
        </w:rPr>
        <w:t>主持：指负责企事业单位或项目（课题）的全面工作，承担主要责任并解决重要关键问题。</w:t>
      </w:r>
    </w:p>
    <w:p>
      <w:pPr>
        <w:spacing w:line="594" w:lineRule="exact"/>
        <w:ind w:firstLine="640" w:firstLineChars="200"/>
        <w:rPr>
          <w:sz w:val="32"/>
          <w:szCs w:val="32"/>
        </w:rPr>
      </w:pPr>
      <w:r>
        <w:rPr>
          <w:sz w:val="32"/>
          <w:szCs w:val="32"/>
        </w:rPr>
        <w:t>二</w:t>
      </w:r>
      <w:r>
        <w:rPr>
          <w:rFonts w:hint="eastAsia"/>
          <w:sz w:val="32"/>
          <w:szCs w:val="32"/>
        </w:rPr>
        <w:t>、</w:t>
      </w:r>
      <w:r>
        <w:rPr>
          <w:sz w:val="32"/>
          <w:szCs w:val="32"/>
        </w:rPr>
        <w:t>骨干：指具体承担项目的调研、立项、项目实施、综合研究报告的编写等全过程的负责人或具体从事生产管理、经营管理、项目建设、课题研究等某一方面的负责人。</w:t>
      </w:r>
    </w:p>
    <w:p>
      <w:pPr>
        <w:spacing w:line="594" w:lineRule="exact"/>
        <w:ind w:firstLine="640" w:firstLineChars="200"/>
        <w:rPr>
          <w:sz w:val="32"/>
          <w:szCs w:val="32"/>
        </w:rPr>
      </w:pPr>
      <w:r>
        <w:rPr>
          <w:sz w:val="32"/>
          <w:szCs w:val="32"/>
        </w:rPr>
        <w:t>三</w:t>
      </w:r>
      <w:r>
        <w:rPr>
          <w:rFonts w:hint="eastAsia"/>
          <w:sz w:val="32"/>
          <w:szCs w:val="32"/>
        </w:rPr>
        <w:t>、</w:t>
      </w:r>
      <w:r>
        <w:rPr>
          <w:sz w:val="32"/>
          <w:szCs w:val="32"/>
        </w:rPr>
        <w:t>企业划分标准：按国家统计局关于印发《统计上大中小</w:t>
      </w:r>
      <w:r>
        <w:rPr>
          <w:spacing w:val="-6"/>
          <w:sz w:val="32"/>
          <w:szCs w:val="32"/>
        </w:rPr>
        <w:t>微型企业划分办法（2017）》的通知（国统字〔2017〕213号）执</w:t>
      </w:r>
      <w:r>
        <w:rPr>
          <w:sz w:val="32"/>
          <w:szCs w:val="32"/>
        </w:rPr>
        <w:t>行。</w:t>
      </w:r>
    </w:p>
    <w:p>
      <w:pPr>
        <w:spacing w:line="594" w:lineRule="exact"/>
        <w:ind w:firstLine="640" w:firstLineChars="200"/>
        <w:rPr>
          <w:sz w:val="32"/>
          <w:szCs w:val="32"/>
        </w:rPr>
      </w:pPr>
      <w:r>
        <w:rPr>
          <w:sz w:val="32"/>
          <w:szCs w:val="32"/>
        </w:rPr>
        <w:t>四</w:t>
      </w:r>
      <w:r>
        <w:rPr>
          <w:rFonts w:hint="eastAsia"/>
          <w:sz w:val="32"/>
          <w:szCs w:val="32"/>
        </w:rPr>
        <w:t>、</w:t>
      </w:r>
      <w:r>
        <w:rPr>
          <w:sz w:val="32"/>
          <w:szCs w:val="32"/>
        </w:rPr>
        <w:t>广西优秀企业家，广西企业100强、制造业50强、服务业50强榜单：由广西企业与企业家联合会表彰发布。</w:t>
      </w:r>
    </w:p>
    <w:p>
      <w:pPr>
        <w:spacing w:line="594" w:lineRule="exact"/>
        <w:ind w:firstLine="640" w:firstLineChars="200"/>
        <w:rPr>
          <w:sz w:val="32"/>
          <w:szCs w:val="32"/>
        </w:rPr>
      </w:pPr>
      <w:r>
        <w:rPr>
          <w:sz w:val="32"/>
          <w:szCs w:val="32"/>
        </w:rPr>
        <w:t>五</w:t>
      </w:r>
      <w:r>
        <w:rPr>
          <w:rFonts w:hint="eastAsia"/>
          <w:sz w:val="32"/>
          <w:szCs w:val="32"/>
        </w:rPr>
        <w:t>、</w:t>
      </w:r>
      <w:r>
        <w:rPr>
          <w:sz w:val="32"/>
          <w:szCs w:val="32"/>
        </w:rPr>
        <w:t>主要编著者：指参与写作的主编、副主编、排名前三名的著者或个人承担的编著字数达到全书三分之一的执笔人。</w:t>
      </w:r>
    </w:p>
    <w:p>
      <w:pPr>
        <w:spacing w:line="594" w:lineRule="exact"/>
        <w:ind w:firstLine="640" w:firstLineChars="200"/>
        <w:rPr>
          <w:sz w:val="32"/>
          <w:szCs w:val="32"/>
        </w:rPr>
      </w:pPr>
      <w:r>
        <w:rPr>
          <w:sz w:val="32"/>
          <w:szCs w:val="32"/>
        </w:rPr>
        <w:t>六</w:t>
      </w:r>
      <w:r>
        <w:rPr>
          <w:rFonts w:hint="eastAsia"/>
          <w:sz w:val="32"/>
          <w:szCs w:val="32"/>
        </w:rPr>
        <w:t>、</w:t>
      </w:r>
      <w:r>
        <w:rPr>
          <w:sz w:val="32"/>
          <w:szCs w:val="32"/>
        </w:rPr>
        <w:t>著作：指取得</w:t>
      </w:r>
      <w:r>
        <w:rPr>
          <w:sz w:val="32"/>
          <w:szCs w:val="32"/>
          <w:lang w:val="en-US" w:eastAsia="zh-CN"/>
        </w:rPr>
        <w:t>ISBN标准书号</w:t>
      </w:r>
      <w:r>
        <w:rPr>
          <w:sz w:val="32"/>
          <w:szCs w:val="32"/>
        </w:rPr>
        <w:t>，公开出版发行的本专业专著或译著。教材、手册、汇编等不在此列。</w:t>
      </w:r>
    </w:p>
    <w:p>
      <w:pPr>
        <w:spacing w:line="594" w:lineRule="exact"/>
        <w:ind w:firstLine="640" w:firstLineChars="200"/>
        <w:rPr>
          <w:sz w:val="32"/>
          <w:szCs w:val="32"/>
        </w:rPr>
      </w:pPr>
      <w:r>
        <w:rPr>
          <w:sz w:val="32"/>
          <w:szCs w:val="32"/>
        </w:rPr>
        <w:t>七</w:t>
      </w:r>
      <w:r>
        <w:rPr>
          <w:rFonts w:hint="eastAsia"/>
          <w:sz w:val="32"/>
          <w:szCs w:val="32"/>
        </w:rPr>
        <w:t>、</w:t>
      </w:r>
      <w:r>
        <w:rPr>
          <w:sz w:val="32"/>
          <w:szCs w:val="32"/>
        </w:rPr>
        <w:t>论文：指以独著、第一作者或通讯作者在具有CN刊号（国内统一连续出版物号）、ISSN刊号（国际标准连续出版物号）的专业期刊上公开发表本专业研究性学术文章。其内容除正文外一般包括摘要、关键词、注释、参考文献等。论文集、增刊、专刊、内刊、特刊等不在此列。清样稿、论文录用通知证明等不能作为已发表论文的依据。</w:t>
      </w:r>
    </w:p>
    <w:p>
      <w:pPr>
        <w:spacing w:line="594" w:lineRule="exact"/>
        <w:ind w:firstLine="640" w:firstLineChars="200"/>
        <w:rPr>
          <w:sz w:val="32"/>
          <w:szCs w:val="32"/>
        </w:rPr>
      </w:pPr>
      <w:r>
        <w:rPr>
          <w:sz w:val="32"/>
          <w:szCs w:val="32"/>
        </w:rPr>
        <w:t>八</w:t>
      </w:r>
      <w:r>
        <w:rPr>
          <w:rFonts w:hint="eastAsia"/>
          <w:sz w:val="32"/>
          <w:szCs w:val="32"/>
        </w:rPr>
        <w:t>、</w:t>
      </w:r>
      <w:r>
        <w:rPr>
          <w:sz w:val="32"/>
          <w:szCs w:val="32"/>
        </w:rPr>
        <w:t>本条件中涉及的“以上”“以下”均含本级（数）。如：二等奖以上含二等奖。</w:t>
      </w:r>
    </w:p>
    <w:p>
      <w:pPr>
        <w:spacing w:line="594" w:lineRule="exact"/>
        <w:ind w:firstLine="640" w:firstLineChars="200"/>
        <w:rPr>
          <w:sz w:val="32"/>
          <w:szCs w:val="32"/>
        </w:rPr>
      </w:pPr>
      <w:r>
        <w:rPr>
          <w:sz w:val="32"/>
          <w:szCs w:val="32"/>
        </w:rPr>
        <w:t>九</w:t>
      </w:r>
      <w:r>
        <w:rPr>
          <w:rFonts w:hint="eastAsia"/>
          <w:sz w:val="32"/>
          <w:szCs w:val="32"/>
        </w:rPr>
        <w:t>、</w:t>
      </w:r>
      <w:r>
        <w:rPr>
          <w:sz w:val="32"/>
          <w:szCs w:val="32"/>
        </w:rPr>
        <w:t>本条件中“市级”均指设区市，不含县级市。“县级以下单位”指单位地址在县域或乡镇的企事业单位。“县级以下事业单位”指单位地址在县域或乡镇的事业单位。</w:t>
      </w:r>
    </w:p>
    <w:p>
      <w:pPr>
        <w:spacing w:line="594" w:lineRule="exact"/>
        <w:rPr>
          <w:sz w:val="44"/>
          <w:szCs w:val="44"/>
        </w:rPr>
      </w:pPr>
    </w:p>
    <w:p>
      <w:pPr>
        <w:spacing w:line="594" w:lineRule="exact"/>
        <w:rPr>
          <w:sz w:val="44"/>
          <w:szCs w:val="44"/>
        </w:rPr>
      </w:pPr>
    </w:p>
    <w:p>
      <w:pPr>
        <w:spacing w:line="594" w:lineRule="exact"/>
        <w:rPr>
          <w:sz w:val="44"/>
          <w:szCs w:val="44"/>
        </w:rPr>
      </w:pPr>
    </w:p>
    <w:p>
      <w:pPr>
        <w:spacing w:line="594" w:lineRule="exact"/>
        <w:rPr>
          <w:sz w:val="44"/>
          <w:szCs w:val="44"/>
        </w:rPr>
      </w:pPr>
    </w:p>
    <w:p>
      <w:pPr>
        <w:spacing w:line="594" w:lineRule="exact"/>
        <w:rPr>
          <w:rFonts w:hint="eastAsia"/>
          <w:sz w:val="44"/>
          <w:szCs w:val="44"/>
        </w:rPr>
      </w:pPr>
    </w:p>
    <w:p>
      <w:pPr>
        <w:spacing w:line="594" w:lineRule="exact"/>
        <w:rPr>
          <w:rFonts w:hint="eastAsia"/>
          <w:sz w:val="44"/>
          <w:szCs w:val="44"/>
        </w:rPr>
      </w:pPr>
    </w:p>
    <w:p>
      <w:pPr>
        <w:spacing w:line="594" w:lineRule="exact"/>
        <w:rPr>
          <w:rFonts w:hint="eastAsia"/>
          <w:sz w:val="44"/>
          <w:szCs w:val="44"/>
        </w:rPr>
      </w:pPr>
    </w:p>
    <w:p>
      <w:pPr>
        <w:spacing w:line="594" w:lineRule="exact"/>
        <w:rPr>
          <w:rFonts w:hint="eastAsia"/>
          <w:sz w:val="44"/>
          <w:szCs w:val="44"/>
        </w:rPr>
      </w:pPr>
    </w:p>
    <w:p>
      <w:pPr>
        <w:spacing w:line="594" w:lineRule="exact"/>
        <w:rPr>
          <w:rFonts w:hint="eastAsia"/>
          <w:sz w:val="44"/>
          <w:szCs w:val="44"/>
        </w:rPr>
      </w:pPr>
    </w:p>
    <w:p>
      <w:pPr>
        <w:spacing w:line="594" w:lineRule="exact"/>
        <w:rPr>
          <w:rFonts w:hint="eastAsia"/>
          <w:sz w:val="44"/>
          <w:szCs w:val="44"/>
        </w:rPr>
      </w:pPr>
    </w:p>
    <w:p>
      <w:pPr>
        <w:spacing w:line="594" w:lineRule="exact"/>
        <w:rPr>
          <w:rFonts w:hint="eastAsia"/>
          <w:sz w:val="44"/>
          <w:szCs w:val="44"/>
        </w:rPr>
      </w:pPr>
    </w:p>
    <w:p>
      <w:pPr>
        <w:spacing w:line="594" w:lineRule="exact"/>
        <w:rPr>
          <w:rFonts w:hint="eastAsia"/>
          <w:sz w:val="44"/>
          <w:szCs w:val="44"/>
        </w:rPr>
      </w:pPr>
    </w:p>
    <w:p>
      <w:pPr>
        <w:spacing w:line="20" w:lineRule="exact"/>
        <w:ind w:firstLine="600" w:firstLineChars="200"/>
        <w:rPr>
          <w:rFonts w:hint="eastAsia"/>
        </w:rPr>
      </w:pPr>
    </w:p>
    <w:sectPr>
      <w:footerReference r:id="rId3" w:type="default"/>
      <w:footerReference r:id="rId4" w:type="even"/>
      <w:pgSz w:w="11906" w:h="16838"/>
      <w:pgMar w:top="1871" w:right="1474" w:bottom="1871" w:left="1474" w:header="851" w:footer="1588" w:gutter="0"/>
      <w:pgNumType w:start="1"/>
      <w:docGrid w:type="lines" w:linePitch="595" w:charSpace="40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大标宋_GBK">
    <w:altName w:val="宋体"/>
    <w:panose1 w:val="03000509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0" w:wrap="around" w:vAnchor="text" w:hAnchor="margin" w:xAlign="outside" w:y="1"/>
      <w:rPr>
        <w:rStyle w:val="17"/>
        <w:rFonts w:hint="eastAsia"/>
        <w:sz w:val="28"/>
        <w:szCs w:val="28"/>
      </w:rPr>
    </w:pPr>
    <w:r>
      <w:rPr>
        <w:rStyle w:val="17"/>
        <w:rFonts w:hint="eastAsia"/>
        <w:sz w:val="28"/>
        <w:szCs w:val="28"/>
      </w:rPr>
      <w:t xml:space="preserve">— </w:t>
    </w:r>
    <w:r>
      <w:rPr>
        <w:rStyle w:val="17"/>
        <w:sz w:val="28"/>
        <w:szCs w:val="28"/>
      </w:rPr>
      <w:fldChar w:fldCharType="begin"/>
    </w:r>
    <w:r>
      <w:rPr>
        <w:rStyle w:val="17"/>
        <w:sz w:val="28"/>
        <w:szCs w:val="28"/>
      </w:rPr>
      <w:instrText xml:space="preserve">PAGE  </w:instrText>
    </w:r>
    <w:r>
      <w:rPr>
        <w:rStyle w:val="17"/>
        <w:sz w:val="28"/>
        <w:szCs w:val="28"/>
      </w:rPr>
      <w:fldChar w:fldCharType="separate"/>
    </w:r>
    <w:r>
      <w:rPr>
        <w:rStyle w:val="17"/>
        <w:sz w:val="28"/>
        <w:szCs w:val="28"/>
        <w:lang w:val="en-US" w:eastAsia="zh-CN"/>
      </w:rPr>
      <w:t>1</w:t>
    </w:r>
    <w:r>
      <w:rPr>
        <w:rStyle w:val="17"/>
        <w:sz w:val="28"/>
        <w:szCs w:val="28"/>
      </w:rPr>
      <w:fldChar w:fldCharType="end"/>
    </w:r>
    <w:r>
      <w:rPr>
        <w:rStyle w:val="17"/>
        <w:rFonts w:hint="eastAsia"/>
        <w:sz w:val="28"/>
        <w:szCs w:val="28"/>
      </w:rPr>
      <w:t xml:space="preserve"> —</w:t>
    </w:r>
  </w:p>
  <w:p>
    <w:pPr>
      <w:pStyle w:val="1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0" w:wrap="around" w:vAnchor="text" w:hAnchor="margin" w:xAlign="outside" w:y="1"/>
      <w:rPr>
        <w:rStyle w:val="17"/>
      </w:rPr>
    </w:pPr>
    <w:r>
      <w:rPr>
        <w:rStyle w:val="17"/>
      </w:rPr>
      <w:fldChar w:fldCharType="begin"/>
    </w:r>
    <w:r>
      <w:rPr>
        <w:rStyle w:val="17"/>
      </w:rPr>
      <w:instrText xml:space="preserve">PAGE  </w:instrText>
    </w:r>
    <w:r>
      <w:rPr>
        <w:rStyle w:val="17"/>
      </w:rPr>
      <w:fldChar w:fldCharType="separate"/>
    </w:r>
    <w:r>
      <w:rPr>
        <w:rStyle w:val="17"/>
        <w:vanish/>
      </w:rPr>
      <w:t xml:space="preserve"> </w:t>
    </w:r>
    <w:r>
      <w:rPr>
        <w:rStyle w:val="17"/>
      </w:rPr>
      <w:fldChar w:fldCharType="end"/>
    </w:r>
  </w:p>
  <w:p>
    <w:pPr>
      <w:pStyle w:val="1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1"/>
  <w:bordersDoNotSurroundFooter w:val="1"/>
  <w:documentProtection w:enforcement="0"/>
  <w:defaultTabStop w:val="420"/>
  <w:drawingGridHorizontalSpacing w:val="160"/>
  <w:drawingGridVerticalSpacing w:val="595"/>
  <w:displayHorizontalDrawingGridEvery w:val="0"/>
  <w:displayVerticalDrawingGridEvery w:val="1"/>
  <w:characterSpacingControl w:val="compressPunctuation"/>
  <w:compat>
    <w:spaceForUL/>
    <w:balanceSingleByteDoubleByteWidth/>
    <w:ulTrailSpace/>
    <w:doNotExpandShiftReturn/>
    <w:adjustLineHeightInTable/>
    <w:useFELayout/>
    <w:doNotUseIndentAsNumberingTabStop/>
    <w:useAltKinsokuLineBreakRules/>
    <w:splitPgBreakAndParaMark/>
    <w:compatSetting w:name="compatibilityMode" w:uri="http://schemas.microsoft.com/office/word" w:val="11"/>
  </w:compat>
  <w:rsids>
    <w:rsidRoot w:val="00000000"/>
    <w:rsid w:val="35C64D43"/>
    <w:rsid w:val="4CAD67C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30"/>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15">
    <w:name w:val="Default Paragraph Font"/>
    <w:qFormat/>
    <w:uiPriority w:val="0"/>
  </w:style>
  <w:style w:type="table" w:default="1" w:styleId="20">
    <w:name w:val="Normal Table"/>
    <w:semiHidden/>
    <w:qFormat/>
    <w:uiPriority w:val="0"/>
    <w:tblPr>
      <w:tblLayout w:type="fixed"/>
      <w:tblCellMar>
        <w:top w:w="0" w:type="dxa"/>
        <w:left w:w="108" w:type="dxa"/>
        <w:bottom w:w="0" w:type="dxa"/>
        <w:right w:w="108" w:type="dxa"/>
      </w:tblCellMar>
    </w:tblPr>
  </w:style>
  <w:style w:type="paragraph" w:styleId="5">
    <w:name w:val="annotation subject"/>
    <w:basedOn w:val="6"/>
    <w:next w:val="6"/>
    <w:qFormat/>
    <w:uiPriority w:val="0"/>
    <w:rPr>
      <w:rFonts w:eastAsia="宋体"/>
      <w:b/>
      <w:bCs/>
      <w:kern w:val="0"/>
      <w:sz w:val="20"/>
      <w:szCs w:val="20"/>
    </w:rPr>
  </w:style>
  <w:style w:type="paragraph" w:styleId="6">
    <w:name w:val="annotation text"/>
    <w:basedOn w:val="1"/>
    <w:qFormat/>
    <w:uiPriority w:val="0"/>
    <w:pPr>
      <w:jc w:val="left"/>
    </w:pPr>
  </w:style>
  <w:style w:type="paragraph" w:styleId="7">
    <w:name w:val="Body Text Indent"/>
    <w:basedOn w:val="1"/>
    <w:qFormat/>
    <w:uiPriority w:val="0"/>
    <w:pPr>
      <w:ind w:firstLine="200" w:firstLineChars="200"/>
    </w:pPr>
    <w:rPr>
      <w:rFonts w:eastAsia="宋体"/>
      <w:sz w:val="24"/>
      <w:szCs w:val="24"/>
    </w:rPr>
  </w:style>
  <w:style w:type="paragraph" w:styleId="8">
    <w:name w:val="Plain Text"/>
    <w:basedOn w:val="1"/>
    <w:qFormat/>
    <w:uiPriority w:val="0"/>
    <w:pPr>
      <w:ind w:firstLine="200" w:firstLineChars="200"/>
    </w:pPr>
    <w:rPr>
      <w:rFonts w:ascii="宋体" w:eastAsia="宋体" w:cs="Courier New"/>
      <w:sz w:val="21"/>
      <w:szCs w:val="21"/>
      <w:lang w:bidi="ar-SA"/>
    </w:rPr>
  </w:style>
  <w:style w:type="paragraph" w:styleId="9">
    <w:name w:val="Date"/>
    <w:basedOn w:val="1"/>
    <w:next w:val="1"/>
    <w:qFormat/>
    <w:uiPriority w:val="0"/>
    <w:pPr>
      <w:ind w:left="2500" w:leftChars="2500"/>
    </w:pPr>
    <w:rPr>
      <w:szCs w:val="24"/>
    </w:rPr>
  </w:style>
  <w:style w:type="paragraph" w:styleId="10">
    <w:name w:val="Body Text Indent 2"/>
    <w:basedOn w:val="1"/>
    <w:qFormat/>
    <w:uiPriority w:val="0"/>
    <w:pPr>
      <w:spacing w:after="120" w:line="480" w:lineRule="auto"/>
      <w:ind w:left="200" w:leftChars="200"/>
    </w:p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Normal (Web)"/>
    <w:qFormat/>
    <w:uiPriority w:val="0"/>
    <w:pPr>
      <w:widowControl w:val="0"/>
      <w:spacing w:before="100" w:beforeAutospacing="1" w:after="100" w:afterAutospacing="1"/>
    </w:pPr>
    <w:rPr>
      <w:rFonts w:ascii="Calibri" w:hAnsi="Calibri" w:eastAsia="宋体" w:cs="Times New Roman"/>
      <w:sz w:val="24"/>
      <w:szCs w:val="24"/>
      <w:lang w:val="en-US" w:eastAsia="zh-CN" w:bidi="ar-SA"/>
    </w:rPr>
  </w:style>
  <w:style w:type="character" w:styleId="16">
    <w:name w:val="Strong"/>
    <w:qFormat/>
    <w:uiPriority w:val="0"/>
    <w:rPr>
      <w:b/>
    </w:rPr>
  </w:style>
  <w:style w:type="character" w:styleId="17">
    <w:name w:val="page number"/>
    <w:basedOn w:val="15"/>
    <w:qFormat/>
    <w:uiPriority w:val="0"/>
  </w:style>
  <w:style w:type="character" w:styleId="18">
    <w:name w:val="Hyperlink"/>
    <w:basedOn w:val="15"/>
    <w:qFormat/>
    <w:uiPriority w:val="0"/>
    <w:rPr>
      <w:color w:val="0000FF"/>
      <w:u w:val="single"/>
    </w:rPr>
  </w:style>
  <w:style w:type="character" w:styleId="19">
    <w:name w:val="annotation reference"/>
    <w:qFormat/>
    <w:uiPriority w:val="0"/>
    <w:rPr>
      <w:sz w:val="21"/>
      <w:szCs w:val="21"/>
    </w:rPr>
  </w:style>
  <w:style w:type="paragraph" w:customStyle="1" w:styleId="21">
    <w:name w:val=" Char"/>
    <w:basedOn w:val="1"/>
    <w:qFormat/>
    <w:uiPriority w:val="0"/>
  </w:style>
  <w:style w:type="paragraph" w:customStyle="1" w:styleId="22">
    <w:name w:val=" Char Char Char Char"/>
    <w:basedOn w:val="1"/>
    <w:qFormat/>
    <w:uiPriority w:val="0"/>
  </w:style>
  <w:style w:type="paragraph" w:customStyle="1" w:styleId="23">
    <w:name w:val="列出段落1"/>
    <w:basedOn w:val="1"/>
    <w:qFormat/>
    <w:uiPriority w:val="0"/>
    <w:pPr>
      <w:ind w:firstLine="200" w:firstLineChars="200"/>
    </w:pPr>
    <w:rPr>
      <w:rFonts w:ascii="Calibri" w:hAnsi="Calibri" w:eastAsia="宋体"/>
      <w:sz w:val="21"/>
      <w:szCs w:val="24"/>
    </w:rPr>
  </w:style>
  <w:style w:type="paragraph" w:customStyle="1" w:styleId="24">
    <w:name w:val="custom_unionstyle"/>
    <w:basedOn w:val="1"/>
    <w:qFormat/>
    <w:uiPriority w:val="0"/>
    <w:pPr>
      <w:widowControl/>
      <w:spacing w:before="100" w:beforeAutospacing="1" w:after="100" w:afterAutospacing="1"/>
      <w:jc w:val="left"/>
    </w:pPr>
    <w:rPr>
      <w:rFonts w:ascii="宋体" w:eastAsia="宋体" w:cs="宋体"/>
      <w:kern w:val="0"/>
      <w:sz w:val="24"/>
      <w:szCs w:val="24"/>
      <w:lang w:bidi="ar-SA"/>
    </w:rPr>
  </w:style>
  <w:style w:type="character" w:customStyle="1" w:styleId="25">
    <w:name w:val=" Char Char6"/>
    <w:qFormat/>
    <w:uiPriority w:val="0"/>
    <w:rPr>
      <w:rFonts w:eastAsia="仿宋_GB2312"/>
      <w:kern w:val="2"/>
      <w:sz w:val="18"/>
      <w:szCs w:val="18"/>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a:gradFill/>
      </a:bgFillStyleLst>
    </a:fmtScheme>
  </a:themeElements>
  <a:objectDefaults>
    <a:spDef>
      <a:spPr>
        <a:solidFill>
          <a:srgbClr val="FFFFFF"/>
        </a:solidFill>
        <a:ln w="9525" cap="flat" cmpd="sng">
          <a:solidFill>
            <a:srgbClr val="000000"/>
          </a:solidFill>
          <a:prstDash val="solid"/>
          <a:miter/>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9525" cap="flat" cmpd="sng">
          <a:solidFill>
            <a:srgbClr val="000000"/>
          </a:solidFill>
          <a:prstDash val="solid"/>
          <a:miter/>
        </a:ln>
      </a:spPr>
      <a:bodyPr/>
      <a:lstStyle/>
      <a:style>
        <a:lnRef idx="1">
          <a:schemeClr val="accent4">
            <a:shade val="50000"/>
          </a:schemeClr>
        </a:lnRef>
        <a:fillRef idx="0">
          <a:schemeClr val="accent4"/>
        </a:fillRef>
        <a:effectRef idx="0">
          <a:schemeClr val="accent4"/>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Microsoft</Company>
  <Pages>12</Pages>
  <Words>0</Words>
  <Characters>6360</Characters>
  <Lines>0</Lines>
  <Paragraphs>198</Paragraphs>
  <TotalTime>207</TotalTime>
  <ScaleCrop>false</ScaleCrop>
  <LinksUpToDate>false</LinksUpToDate>
  <CharactersWithSpaces>8480</CharactersWithSpaces>
  <Application>WPS Office_10.8.2.6990_F1E327BC-269C-435d-A152-05C5408002CA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2020-03-27T11:44:00Z</dcterms:created>
  <dc:creator>User</dc:creator>
  <cp:lastModifiedBy>hsr</cp:lastModifiedBy>
  <cp:lastPrinted>2022-06-02T08:18:43Z</cp:lastPrinted>
  <dcterms:modified xsi:type="dcterms:W3CDTF">2022-06-02T08:19:07Z</dcterms:modified>
  <dc:title>关于开展二〇一二年度专业技术资格</dc:title>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2052-10.8.2.6990</vt:lpwstr>
  </property>
</Properties>
</file>